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C911A0" w:rsidRDefault="00C911A0" w:rsidP="00847001">
      <w:pPr>
        <w:pStyle w:val="3"/>
        <w:rPr>
          <w:spacing w:val="0"/>
        </w:rPr>
      </w:pPr>
      <w:r>
        <w:rPr>
          <w:spacing w:val="0"/>
        </w:rPr>
        <w:t>ПОСТАНОВЛЕНИЕ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>13 апреля 2020 года № 89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>«О внесении изменений в постановление администрации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 xml:space="preserve"> муниципального образования «Город Астрахань» 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>от 09.01.2019 № 05»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постановлением администрации муниципального образования «Город Астрахань» от 09.06.2018 № 352 «Об утверждении Порядка разработки, утверждения и реализации ведомственных целевых программ муниципального образования «Город Астрахань» ПОСТАНОВЛЯЮ: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1. Внести в постановление администрации муниципального образования «Город Астрахань» от 09.01.2019 № 05 «Об утверждении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следующие изменения: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1.1. Изменения согласно приложению 1 к настоящему постановлению администрации муниципального образования «Город Астрахань».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1.2. «Перечень программных мероприятий, показателей и результатов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новой редакции согласно приложению 2 к настоящему постановлению администрации муниципального образования «Город Астрахань».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1.3. «Распределение расходов на реализацию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новой редакции согласно приложению 3 к настоящему постановлению администрации муниципального образования «Город Астрахань».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2.2.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 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3.3.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5.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капитальному строительству администрации муниципального образования «Город Астрахань».</w:t>
      </w:r>
    </w:p>
    <w:p w:rsidR="00847001" w:rsidRPr="00C36E32" w:rsidRDefault="00847001" w:rsidP="00847001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C911A0" w:rsidRDefault="00C911A0" w:rsidP="00847001">
      <w:pPr>
        <w:pStyle w:val="a3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847001" w:rsidRPr="00C36E32" w:rsidRDefault="00847001" w:rsidP="00847001">
      <w:pPr>
        <w:pStyle w:val="a3"/>
        <w:ind w:left="2835" w:firstLine="0"/>
        <w:rPr>
          <w:spacing w:val="0"/>
        </w:rPr>
      </w:pPr>
      <w:r w:rsidRPr="00C36E32">
        <w:rPr>
          <w:spacing w:val="0"/>
        </w:rPr>
        <w:lastRenderedPageBreak/>
        <w:t xml:space="preserve">Приложение 1 к постановлению администрации </w:t>
      </w:r>
    </w:p>
    <w:p w:rsidR="00847001" w:rsidRPr="00C36E32" w:rsidRDefault="00847001" w:rsidP="00847001">
      <w:pPr>
        <w:pStyle w:val="a3"/>
        <w:ind w:left="2835" w:firstLine="0"/>
        <w:rPr>
          <w:spacing w:val="0"/>
        </w:rPr>
      </w:pPr>
      <w:r w:rsidRPr="00C36E32">
        <w:rPr>
          <w:spacing w:val="0"/>
        </w:rPr>
        <w:t xml:space="preserve">муниципального образования «Город Астрахань» </w:t>
      </w:r>
    </w:p>
    <w:p w:rsidR="00847001" w:rsidRPr="00C36E32" w:rsidRDefault="00847001" w:rsidP="00847001">
      <w:pPr>
        <w:pStyle w:val="a3"/>
        <w:ind w:left="2835" w:firstLine="0"/>
        <w:rPr>
          <w:spacing w:val="0"/>
        </w:rPr>
      </w:pPr>
      <w:r w:rsidRPr="00C36E32">
        <w:rPr>
          <w:spacing w:val="0"/>
        </w:rPr>
        <w:t>от 13.04.2020 № 89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 xml:space="preserve">Изменения, вносимые в постановление администрации 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 xml:space="preserve">муниципального образования «Город Астрахань» от 09.01.2019 № 05 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 xml:space="preserve">«Об утверждении ведомственной целевой программы 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 xml:space="preserve">муниципального образования «Город Астрахань» 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 xml:space="preserve">«Строительство, реконструкция и капитальный ремонт объектов </w:t>
      </w:r>
    </w:p>
    <w:p w:rsidR="00847001" w:rsidRPr="00C36E32" w:rsidRDefault="00847001" w:rsidP="00847001">
      <w:pPr>
        <w:pStyle w:val="3"/>
        <w:rPr>
          <w:spacing w:val="0"/>
        </w:rPr>
      </w:pPr>
      <w:r w:rsidRPr="00C36E32">
        <w:rPr>
          <w:spacing w:val="0"/>
        </w:rPr>
        <w:t>образования, физической культуры и спорта города Астрахани»</w:t>
      </w:r>
    </w:p>
    <w:p w:rsidR="00847001" w:rsidRPr="00C36E32" w:rsidRDefault="00847001" w:rsidP="00C911A0">
      <w:pPr>
        <w:pStyle w:val="a3"/>
        <w:spacing w:before="57"/>
        <w:ind w:firstLine="709"/>
        <w:rPr>
          <w:spacing w:val="0"/>
        </w:rPr>
      </w:pPr>
      <w:r w:rsidRPr="00C36E32">
        <w:rPr>
          <w:spacing w:val="0"/>
        </w:rPr>
        <w:t>1. Пункт «Объемы и источники финансирования Программы» паспорта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6225"/>
      </w:tblGrid>
      <w:tr w:rsidR="00847001" w:rsidRPr="00C36E32" w:rsidTr="00D40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Объемы и источники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финансирования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Общий объем средств, направляемых на реализацию мероприятий, - 456 543 260,74 руб., в том числе по годам: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2021 - 133 763 438,04 руб.;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2022 - 172 779 822,70 руб.;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2023 - 150 000 000,00 руб.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 xml:space="preserve">Из них по источникам финансирования: 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- средства бюджета МО «Город Астрахань», всего - 436 180 660,74 руб., в том числе по годам: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2021 - 123 582 138,04 руб.;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2022 - 162 598 522,70 руб.;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2023 - 150 000 000,00 руб.;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- средства бюджета Астраханской области, всего - 20 362 600,00 руб., в том числе по годам: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2021 - 10 181 300,00 руб.;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2022 - 10 181 300,00 руб.</w:t>
            </w:r>
          </w:p>
        </w:tc>
      </w:tr>
    </w:tbl>
    <w:p w:rsidR="00847001" w:rsidRPr="00C36E32" w:rsidRDefault="00847001" w:rsidP="00847001">
      <w:pPr>
        <w:pStyle w:val="a3"/>
        <w:rPr>
          <w:spacing w:val="0"/>
        </w:rPr>
      </w:pP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2. Пункт «Ожидаемые конечные результаты реализации Программы» паспорта ведомственной целевой программы муниципального образования «Город Астрахань» «Строительство, реконструкция и капитальный ремонт объектов образования, физической культуры и спорта города Астрахани»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5755"/>
      </w:tblGrid>
      <w:tr w:rsidR="00847001" w:rsidRPr="00C36E32" w:rsidTr="00D40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Ожидаемые конечные результаты реализации Программы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- степень реализации задач программы - 100%;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>- увеличение количества вновь построенных муниципальных образовательных организаций до 1 ед.;</w:t>
            </w:r>
          </w:p>
          <w:p w:rsidR="00847001" w:rsidRPr="00C36E32" w:rsidRDefault="00847001" w:rsidP="00D40086">
            <w:pPr>
              <w:pStyle w:val="a4"/>
              <w:rPr>
                <w:w w:val="100"/>
              </w:rPr>
            </w:pPr>
            <w:r w:rsidRPr="00C36E32">
              <w:rPr>
                <w:w w:val="100"/>
              </w:rPr>
              <w:t xml:space="preserve">- увеличение количества отремонтированных объектов образования до 56 ед. </w:t>
            </w:r>
          </w:p>
        </w:tc>
      </w:tr>
    </w:tbl>
    <w:p w:rsidR="00847001" w:rsidRPr="00C36E32" w:rsidRDefault="00847001" w:rsidP="00847001">
      <w:pPr>
        <w:pStyle w:val="a3"/>
        <w:rPr>
          <w:spacing w:val="0"/>
        </w:rPr>
      </w:pPr>
    </w:p>
    <w:p w:rsidR="00847001" w:rsidRPr="00C36E32" w:rsidRDefault="00847001" w:rsidP="00C911A0">
      <w:pPr>
        <w:pStyle w:val="a3"/>
        <w:ind w:firstLine="709"/>
        <w:rPr>
          <w:spacing w:val="0"/>
        </w:rPr>
      </w:pPr>
      <w:r w:rsidRPr="00C36E32">
        <w:rPr>
          <w:spacing w:val="0"/>
        </w:rPr>
        <w:t>3. В разделе 3 «Перечень и характеристика целей, задач, мероприятий, индикаторов (показателей) и результатов Программы» цифры «2», «30» заменить цифрами «1», «56» соответственно.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4. Раздел 9 «Обоснование потребностей в необходимых ресурсах» ведомственной целевой программы муниципального образования «Город Астрахань» «</w:t>
      </w:r>
      <w:proofErr w:type="gramStart"/>
      <w:r w:rsidRPr="00C36E32">
        <w:rPr>
          <w:spacing w:val="0"/>
        </w:rPr>
        <w:t>Строи­тельство</w:t>
      </w:r>
      <w:proofErr w:type="gramEnd"/>
      <w:r w:rsidRPr="00C36E32">
        <w:rPr>
          <w:spacing w:val="0"/>
        </w:rPr>
        <w:t>, реконструкция и капитальный ремонт объектов образования, физической культуры и спорта города Астрахани» изложить в следующей редакции: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«9. Обоснование потребностей в необходимых ресурсах.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Общий объем средств, направляемых на реализацию мероприятий Программы, - 456 543 260,74 руб., в том числе по годам: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2021 - 133 763 438,04 руб.;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2022 - 172 779 822,70 руб.;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2023 - 150 000 000,00 руб.</w:t>
      </w:r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Объем финансирования подлежит уточнению исходя из возможностей всех уровней бюджетов с корректировкой программных мероприятий, результатов их реализации и оценки эффективности</w:t>
      </w:r>
      <w:proofErr w:type="gramStart"/>
      <w:r w:rsidRPr="00C36E32">
        <w:rPr>
          <w:spacing w:val="0"/>
        </w:rPr>
        <w:t>.».</w:t>
      </w:r>
      <w:proofErr w:type="gramEnd"/>
    </w:p>
    <w:p w:rsidR="00847001" w:rsidRPr="00C36E32" w:rsidRDefault="00847001" w:rsidP="00847001">
      <w:pPr>
        <w:pStyle w:val="a3"/>
        <w:rPr>
          <w:spacing w:val="0"/>
        </w:rPr>
      </w:pPr>
      <w:r w:rsidRPr="00C36E32">
        <w:rPr>
          <w:spacing w:val="0"/>
        </w:rPr>
        <w:t>5. В разделе 10 «Описание ожидаемых результатов реализации Программы и целевые индикаторы» цифры «2», «30» заменить цифрами «1», «56» соответственно.</w:t>
      </w:r>
    </w:p>
    <w:p w:rsidR="006452CD" w:rsidRDefault="006452CD" w:rsidP="00847001">
      <w:pPr>
        <w:pStyle w:val="a3"/>
        <w:ind w:left="5669" w:firstLine="0"/>
        <w:rPr>
          <w:spacing w:val="0"/>
          <w:highlight w:val="yellow"/>
        </w:rPr>
        <w:sectPr w:rsidR="006452CD" w:rsidSect="00C911A0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  <w:r>
        <w:rPr>
          <w:spacing w:val="0"/>
          <w:highlight w:val="yellow"/>
        </w:rPr>
        <w:br w:type="page"/>
      </w:r>
    </w:p>
    <w:p w:rsidR="006452CD" w:rsidRDefault="006452CD" w:rsidP="006452CD">
      <w:pPr>
        <w:pStyle w:val="a3"/>
        <w:ind w:firstLine="0"/>
        <w:jc w:val="center"/>
        <w:rPr>
          <w:spacing w:val="0"/>
          <w:highlight w:val="yellow"/>
        </w:rPr>
      </w:pPr>
      <w:r>
        <w:rPr>
          <w:noProof/>
          <w:spacing w:val="0"/>
          <w:lang w:eastAsia="ru-RU"/>
        </w:rPr>
        <w:lastRenderedPageBreak/>
        <w:drawing>
          <wp:inline distT="0" distB="0" distL="0" distR="0">
            <wp:extent cx="9271635" cy="60820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0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0"/>
          <w:lang w:eastAsia="ru-RU"/>
        </w:rPr>
        <w:lastRenderedPageBreak/>
        <w:drawing>
          <wp:inline distT="0" distB="0" distL="0" distR="0">
            <wp:extent cx="9207500" cy="1786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0"/>
          <w:lang w:eastAsia="ru-RU"/>
        </w:rPr>
        <w:lastRenderedPageBreak/>
        <w:drawing>
          <wp:inline distT="0" distB="0" distL="0" distR="0">
            <wp:extent cx="8910320" cy="570992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3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CD" w:rsidSect="006452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01"/>
    <w:rsid w:val="006452CD"/>
    <w:rsid w:val="00847001"/>
    <w:rsid w:val="00C911A0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70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70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47001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4700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4700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47001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4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2020-04-15T09:38:00Z</dcterms:created>
  <dcterms:modified xsi:type="dcterms:W3CDTF">2020-04-15T09:41:00Z</dcterms:modified>
</cp:coreProperties>
</file>