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77" w:rsidRDefault="00EE5277" w:rsidP="00EE5277">
      <w:pPr>
        <w:pStyle w:val="3"/>
      </w:pPr>
      <w:r>
        <w:t>Администрация муниципального образования «Город Астрахань»</w:t>
      </w:r>
    </w:p>
    <w:p w:rsidR="00EE5277" w:rsidRDefault="00EE5277" w:rsidP="00EE5277">
      <w:pPr>
        <w:pStyle w:val="3"/>
      </w:pPr>
      <w:r>
        <w:t>ПОСТАНОВЛЕНИЕ</w:t>
      </w:r>
    </w:p>
    <w:p w:rsidR="00EE5277" w:rsidRDefault="00EE5277" w:rsidP="00EE5277">
      <w:pPr>
        <w:pStyle w:val="3"/>
      </w:pPr>
      <w:r>
        <w:t>11 декабря 2017 года № 5923</w:t>
      </w:r>
    </w:p>
    <w:p w:rsidR="00EE5277" w:rsidRDefault="00EE5277" w:rsidP="00EE5277">
      <w:pPr>
        <w:pStyle w:val="3"/>
      </w:pPr>
      <w:r>
        <w:t xml:space="preserve">«О внесении изменений в постановление администрации </w:t>
      </w:r>
    </w:p>
    <w:p w:rsidR="00EE5277" w:rsidRDefault="00EE5277" w:rsidP="00EE5277">
      <w:pPr>
        <w:pStyle w:val="3"/>
      </w:pPr>
      <w:r>
        <w:t>муниципального образования «Город Астрахань» от 18.12.2015 № 8914»</w:t>
      </w:r>
    </w:p>
    <w:p w:rsidR="00EE5277" w:rsidRDefault="00EE5277" w:rsidP="00EE5277">
      <w:pPr>
        <w:pStyle w:val="a3"/>
      </w:pPr>
      <w:proofErr w:type="gramStart"/>
      <w: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Порядком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 администрации муниципального образования «Город Астрахань» от 09.06.2015 №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дополнениями и</w:t>
      </w:r>
      <w:proofErr w:type="gramEnd"/>
      <w:r>
        <w:t xml:space="preserve"> </w:t>
      </w:r>
      <w:proofErr w:type="gramStart"/>
      <w:r>
        <w:t>изменениями, внесенными постановлениями администрации муниципального образования «Город Астрахань» от 26.02.2016 № 1125, от 07.02.2017 № 752, от 09.08.2017 № 4676, распоряжением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ПОСТАНОВЛЯЮ:</w:t>
      </w:r>
      <w:proofErr w:type="gramEnd"/>
    </w:p>
    <w:p w:rsidR="00EE5277" w:rsidRDefault="00EE5277" w:rsidP="00EE5277">
      <w:pPr>
        <w:pStyle w:val="a3"/>
        <w:rPr>
          <w:spacing w:val="5"/>
        </w:rPr>
      </w:pPr>
      <w:r>
        <w:rPr>
          <w:spacing w:val="5"/>
        </w:rPr>
        <w:t xml:space="preserve">1. </w:t>
      </w:r>
      <w:proofErr w:type="gramStart"/>
      <w:r>
        <w:rPr>
          <w:spacing w:val="5"/>
        </w:rPr>
        <w:t>Внести в постановление администрации муниципального образования «Город Астрахань» от 18.12.2015 № 8914 «Об утверждении муниципальной программы муниципального образования «Город Астрахань» «Охрана окружающей среды», с изменениями, внесенными постановлениями администрации муниципального образования «Город Астрахань» от 28.03.2016 № 1969, от 14.07.2016 № 4638, от 24.11.2016 № 8064, от 30.12.2016 № 8956, от 11.04.2017 № 2116, от 24.05.2017 № 3181, изменение, изложив муниципальную программу муниципального образования «Город Астрахань» «Охрана окружающей среды</w:t>
      </w:r>
      <w:proofErr w:type="gramEnd"/>
      <w:r>
        <w:rPr>
          <w:spacing w:val="5"/>
        </w:rPr>
        <w:t>» в новой редакции согласно приложению к настоящему постановлению администрации муниципального образования «Город Астрахань».</w:t>
      </w:r>
    </w:p>
    <w:p w:rsidR="00EE5277" w:rsidRDefault="00EE5277" w:rsidP="00EE5277">
      <w:pPr>
        <w:pStyle w:val="a3"/>
      </w:pPr>
      <w:r>
        <w:t>2. Управлению информационной политики администрации муниципального образования «Город Астрахань»:</w:t>
      </w:r>
    </w:p>
    <w:p w:rsidR="00EE5277" w:rsidRDefault="00EE5277" w:rsidP="00EE5277">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EE5277" w:rsidRDefault="00EE5277" w:rsidP="00EE5277">
      <w:pPr>
        <w:pStyle w:val="a3"/>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EE5277" w:rsidRDefault="00EE5277" w:rsidP="00EE5277">
      <w:pPr>
        <w:pStyle w:val="a3"/>
      </w:pPr>
      <w:r>
        <w:t>3. Управлению контроля и документооборота администрации муниципального образования «Город Астрахань»:</w:t>
      </w:r>
    </w:p>
    <w:p w:rsidR="00EE5277" w:rsidRDefault="00EE5277" w:rsidP="00EE5277">
      <w:pPr>
        <w:pStyle w:val="a3"/>
      </w:pPr>
      <w:r>
        <w:t>3.1. Внести соответствующие изменения в поисково-справочную систему правовых актов администрации муниципального образования «Город Астрахань».</w:t>
      </w:r>
    </w:p>
    <w:p w:rsidR="00EE5277" w:rsidRDefault="00EE5277" w:rsidP="00EE5277">
      <w:pPr>
        <w:pStyle w:val="a3"/>
      </w:pPr>
      <w:r>
        <w:t>3.2. Направить настоящее постановление администрации муниципального образования «Город Астрахань» в государственн</w:t>
      </w:r>
      <w:proofErr w:type="gramStart"/>
      <w:r>
        <w:t>о-</w:t>
      </w:r>
      <w:proofErr w:type="gramEnd"/>
      <w:r>
        <w:t xml:space="preserve">­правовое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EE5277" w:rsidRDefault="00EE5277" w:rsidP="00EE5277">
      <w:pPr>
        <w:pStyle w:val="a3"/>
      </w:pPr>
      <w:r>
        <w:t>3.3. В течение 10 дней после дня принятия настоящего постановления направить администрации муниципального образования «Город Астрахань» его в прокуратуру города Астрахани для проведения антикоррупционной экспертизы и проверки на предмет законности.</w:t>
      </w:r>
    </w:p>
    <w:p w:rsidR="00EE5277" w:rsidRDefault="00EE5277" w:rsidP="00EE5277">
      <w:pPr>
        <w:pStyle w:val="a3"/>
      </w:pPr>
      <w: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EE5277" w:rsidRDefault="00EE5277" w:rsidP="00EE5277">
      <w:pPr>
        <w:pStyle w:val="a3"/>
      </w:pPr>
      <w:r>
        <w:t xml:space="preserve">5.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В.Ю. Корженко.</w:t>
      </w:r>
    </w:p>
    <w:p w:rsidR="00EE5277" w:rsidRDefault="00EE5277" w:rsidP="00EE5277">
      <w:pPr>
        <w:pStyle w:val="a3"/>
        <w:jc w:val="right"/>
      </w:pPr>
      <w:r>
        <w:rPr>
          <w:b/>
          <w:bCs/>
        </w:rPr>
        <w:t>Глава администрации О.А. ПОЛУМОРДВИНОВ</w:t>
      </w:r>
    </w:p>
    <w:p w:rsidR="00EE5277" w:rsidRDefault="00EE5277" w:rsidP="00EE5277">
      <w:pPr>
        <w:pStyle w:val="a3"/>
        <w:ind w:left="2835" w:firstLine="0"/>
      </w:pPr>
      <w:r>
        <w:t xml:space="preserve">Приложение к постановлению администрации </w:t>
      </w:r>
    </w:p>
    <w:p w:rsidR="00EE5277" w:rsidRDefault="00EE5277" w:rsidP="00EE5277">
      <w:pPr>
        <w:pStyle w:val="a3"/>
        <w:ind w:left="2835" w:firstLine="0"/>
      </w:pPr>
      <w:r>
        <w:t>муниципального образования «Город Астрахань»</w:t>
      </w:r>
    </w:p>
    <w:p w:rsidR="00EE5277" w:rsidRDefault="00EE5277" w:rsidP="00EE5277">
      <w:pPr>
        <w:pStyle w:val="a3"/>
        <w:ind w:left="2835" w:firstLine="0"/>
      </w:pPr>
      <w:r>
        <w:t>от 11.12.2017 № 5923</w:t>
      </w:r>
    </w:p>
    <w:p w:rsidR="00EE5277" w:rsidRDefault="00EE5277" w:rsidP="00EE5277">
      <w:pPr>
        <w:pStyle w:val="a3"/>
        <w:spacing w:before="57"/>
        <w:ind w:left="2835" w:firstLine="0"/>
      </w:pPr>
      <w:proofErr w:type="gramStart"/>
      <w:r>
        <w:t>Утверждена</w:t>
      </w:r>
      <w:proofErr w:type="gramEnd"/>
      <w:r>
        <w:t xml:space="preserve"> постановлением администрации </w:t>
      </w:r>
    </w:p>
    <w:p w:rsidR="00EE5277" w:rsidRDefault="00EE5277" w:rsidP="00EE5277">
      <w:pPr>
        <w:pStyle w:val="a3"/>
        <w:ind w:left="2835" w:firstLine="0"/>
      </w:pPr>
      <w:r>
        <w:t>муниципального образования «Город Астрахань»</w:t>
      </w:r>
    </w:p>
    <w:p w:rsidR="00EE5277" w:rsidRDefault="00EE5277" w:rsidP="00EE5277">
      <w:pPr>
        <w:pStyle w:val="a3"/>
        <w:ind w:left="2835" w:firstLine="0"/>
      </w:pPr>
      <w:r>
        <w:t>№ 8914 от 18.12.2015</w:t>
      </w:r>
    </w:p>
    <w:p w:rsidR="00EE5277" w:rsidRDefault="00EE5277" w:rsidP="00EE5277">
      <w:pPr>
        <w:pStyle w:val="3"/>
      </w:pPr>
      <w:r>
        <w:t xml:space="preserve">Муниципальная программа </w:t>
      </w:r>
      <w:proofErr w:type="gramStart"/>
      <w:r>
        <w:t>муниципального</w:t>
      </w:r>
      <w:proofErr w:type="gramEnd"/>
      <w:r>
        <w:t xml:space="preserve"> </w:t>
      </w:r>
    </w:p>
    <w:p w:rsidR="00EE5277" w:rsidRDefault="00EE5277" w:rsidP="00EE5277">
      <w:pPr>
        <w:pStyle w:val="3"/>
      </w:pPr>
      <w:r>
        <w:t>образования «Город Астрахань» «Охрана окружающей среды»</w:t>
      </w:r>
    </w:p>
    <w:p w:rsidR="00EE5277" w:rsidRDefault="00EE5277" w:rsidP="00EE5277">
      <w:pPr>
        <w:pStyle w:val="a3"/>
      </w:pPr>
      <w:r>
        <w:t>1. Паспорт.</w:t>
      </w:r>
    </w:p>
    <w:tbl>
      <w:tblPr>
        <w:tblW w:w="0" w:type="auto"/>
        <w:tblInd w:w="28" w:type="dxa"/>
        <w:tblLayout w:type="fixed"/>
        <w:tblCellMar>
          <w:left w:w="0" w:type="dxa"/>
          <w:right w:w="0" w:type="dxa"/>
        </w:tblCellMar>
        <w:tblLook w:val="0000" w:firstRow="0" w:lastRow="0" w:firstColumn="0" w:lastColumn="0" w:noHBand="0" w:noVBand="0"/>
      </w:tblPr>
      <w:tblGrid>
        <w:gridCol w:w="2489"/>
        <w:gridCol w:w="4751"/>
      </w:tblGrid>
      <w:tr w:rsidR="00EE5277" w:rsidTr="00B9506A">
        <w:trPr>
          <w:trHeight w:val="113"/>
        </w:trPr>
        <w:tc>
          <w:tcPr>
            <w:tcW w:w="24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Наименование муниципальной программы</w:t>
            </w:r>
          </w:p>
        </w:tc>
        <w:tc>
          <w:tcPr>
            <w:tcW w:w="47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Муниципальная программа муниципального образования «Город Астрахань» «Охрана окружающей среды» (далее - Программа)</w:t>
            </w:r>
          </w:p>
        </w:tc>
      </w:tr>
      <w:tr w:rsidR="00EE5277" w:rsidTr="00B9506A">
        <w:trPr>
          <w:trHeight w:val="113"/>
        </w:trPr>
        <w:tc>
          <w:tcPr>
            <w:tcW w:w="24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Основание для разработки муниципальной программы</w:t>
            </w:r>
          </w:p>
        </w:tc>
        <w:tc>
          <w:tcPr>
            <w:tcW w:w="47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rPr>
                <w:spacing w:val="3"/>
              </w:rPr>
              <w:t>Перечень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 607-р от 27.05.2015, с изменениями, внесенными распоряжением администрации муниципального образования «Город Астрахань» от 21.03.2016 № 193-р, от 21.10.2016 № 1534-р</w:t>
            </w:r>
          </w:p>
        </w:tc>
      </w:tr>
      <w:tr w:rsidR="00EE5277" w:rsidTr="00B9506A">
        <w:trPr>
          <w:trHeight w:val="113"/>
        </w:trPr>
        <w:tc>
          <w:tcPr>
            <w:tcW w:w="24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Ответственный исполнитель муниципальной программы</w:t>
            </w:r>
          </w:p>
        </w:tc>
        <w:tc>
          <w:tcPr>
            <w:tcW w:w="47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 xml:space="preserve">Управление по коммунальному хозяйству и благоустройству администрации муниципального образования «Город </w:t>
            </w:r>
            <w:r>
              <w:lastRenderedPageBreak/>
              <w:t>Астрахань»</w:t>
            </w:r>
          </w:p>
        </w:tc>
      </w:tr>
      <w:tr w:rsidR="00EE5277" w:rsidTr="00B9506A">
        <w:trPr>
          <w:trHeight w:val="113"/>
        </w:trPr>
        <w:tc>
          <w:tcPr>
            <w:tcW w:w="24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lastRenderedPageBreak/>
              <w:t>Соисполнитель муниципальной программы (участник)</w:t>
            </w:r>
          </w:p>
        </w:tc>
        <w:tc>
          <w:tcPr>
            <w:tcW w:w="47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Управление по капитальному строительству администрации муниципального образования «Город Астрахань»</w:t>
            </w:r>
          </w:p>
        </w:tc>
      </w:tr>
      <w:tr w:rsidR="00EE5277" w:rsidTr="00B9506A">
        <w:trPr>
          <w:trHeight w:val="113"/>
        </w:trPr>
        <w:tc>
          <w:tcPr>
            <w:tcW w:w="24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Подпрограммы муниципальной программы (в том числе ведомственные целевые программы, входящие в состав муниципальной программы)</w:t>
            </w:r>
          </w:p>
        </w:tc>
        <w:tc>
          <w:tcPr>
            <w:tcW w:w="47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 xml:space="preserve">не </w:t>
            </w:r>
            <w:proofErr w:type="gramStart"/>
            <w:r>
              <w:t>предусмотрены</w:t>
            </w:r>
            <w:proofErr w:type="gramEnd"/>
            <w:r>
              <w:t xml:space="preserve"> Программой</w:t>
            </w:r>
          </w:p>
        </w:tc>
      </w:tr>
    </w:tbl>
    <w:p w:rsidR="00EE5277" w:rsidRDefault="00EE5277" w:rsidP="00EE5277">
      <w:pPr>
        <w:pStyle w:val="a3"/>
      </w:pPr>
    </w:p>
    <w:tbl>
      <w:tblPr>
        <w:tblW w:w="0" w:type="auto"/>
        <w:tblInd w:w="28" w:type="dxa"/>
        <w:tblLayout w:type="fixed"/>
        <w:tblCellMar>
          <w:left w:w="0" w:type="dxa"/>
          <w:right w:w="0" w:type="dxa"/>
        </w:tblCellMar>
        <w:tblLook w:val="0000" w:firstRow="0" w:lastRow="0" w:firstColumn="0" w:lastColumn="0" w:noHBand="0" w:noVBand="0"/>
      </w:tblPr>
      <w:tblGrid>
        <w:gridCol w:w="2263"/>
        <w:gridCol w:w="4977"/>
      </w:tblGrid>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Цели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Улучшение экологической обстановки на территории муниципального образования «Город Астрахань» (далее - город Астрахань)</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Задачи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Основными задачами Программы являются:</w:t>
            </w:r>
          </w:p>
          <w:p w:rsidR="00EE5277" w:rsidRDefault="00EE5277" w:rsidP="00B9506A">
            <w:pPr>
              <w:pStyle w:val="a4"/>
            </w:pPr>
            <w:r>
              <w:t>- поддержание качественного состояния внутригородских водоемов;</w:t>
            </w:r>
          </w:p>
          <w:p w:rsidR="00EE5277" w:rsidRDefault="00EE5277" w:rsidP="00B9506A">
            <w:pPr>
              <w:pStyle w:val="a4"/>
            </w:pPr>
            <w:r>
              <w:t>- обеспечение охраны земельных ресурсов (восстановление нарушенных земель);</w:t>
            </w:r>
          </w:p>
          <w:p w:rsidR="00EE5277" w:rsidRDefault="00EE5277" w:rsidP="00B9506A">
            <w:pPr>
              <w:pStyle w:val="a4"/>
            </w:pPr>
            <w:r>
              <w:t xml:space="preserve">- поддержание санитарного состояния на территории контейнерных площадок; </w:t>
            </w:r>
          </w:p>
          <w:p w:rsidR="00EE5277" w:rsidRDefault="00EE5277" w:rsidP="00B9506A">
            <w:pPr>
              <w:pStyle w:val="a4"/>
            </w:pPr>
            <w:r>
              <w:t>- регистрация права собственности на объекты инженерной защиты г. Астрахани</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Целевые показатели (индикаторы)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 доля территории, на которой улучшилась экологическая обстановка, от общей площади экологически загрязненной территории;</w:t>
            </w:r>
          </w:p>
          <w:p w:rsidR="00EE5277" w:rsidRDefault="00EE5277" w:rsidP="00B9506A">
            <w:pPr>
              <w:pStyle w:val="a4"/>
            </w:pPr>
            <w:r>
              <w:t>- доля ликвидированных нарушений, выявленных при контроле качества внутригородских водоемов;</w:t>
            </w:r>
          </w:p>
          <w:p w:rsidR="00EE5277" w:rsidRDefault="00EE5277" w:rsidP="00B9506A">
            <w:pPr>
              <w:pStyle w:val="a4"/>
            </w:pPr>
            <w:r>
              <w:t xml:space="preserve">- доля </w:t>
            </w:r>
            <w:proofErr w:type="spellStart"/>
            <w:r>
              <w:t>рекультивируемых</w:t>
            </w:r>
            <w:proofErr w:type="spellEnd"/>
            <w:r>
              <w:t xml:space="preserve"> земель от общего количества земель, подлежащих рекультивации; </w:t>
            </w:r>
          </w:p>
          <w:p w:rsidR="00EE5277" w:rsidRDefault="00EE5277" w:rsidP="00B9506A">
            <w:pPr>
              <w:pStyle w:val="a4"/>
            </w:pPr>
            <w:r>
              <w:t>- количество контейнерных площадок;</w:t>
            </w:r>
          </w:p>
          <w:p w:rsidR="00EE5277" w:rsidRDefault="00EE5277" w:rsidP="00B9506A">
            <w:pPr>
              <w:pStyle w:val="a4"/>
            </w:pPr>
            <w:r>
              <w:t>- доля объектов инженерной защиты, на которые зарегистрировано право собственности</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Сроки и этапы реализации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2016-2019 годы</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Объемы и источники финансирования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rPr>
                <w:spacing w:val="2"/>
              </w:rPr>
            </w:pPr>
            <w:r>
              <w:rPr>
                <w:spacing w:val="2"/>
              </w:rPr>
              <w:t xml:space="preserve">Объем финансирования муниципальной программы составляет: 119 817 478,72 руб., в том числе: </w:t>
            </w:r>
          </w:p>
          <w:p w:rsidR="00EE5277" w:rsidRDefault="00EE5277" w:rsidP="00B9506A">
            <w:pPr>
              <w:pStyle w:val="a4"/>
            </w:pPr>
            <w:r>
              <w:t>Бюджет Астраханской области - 1 246160,00 руб., в том числе по годам:</w:t>
            </w:r>
          </w:p>
          <w:p w:rsidR="00EE5277" w:rsidRDefault="00EE5277" w:rsidP="00B9506A">
            <w:pPr>
              <w:pStyle w:val="a4"/>
            </w:pPr>
            <w:r>
              <w:t>2016 год - 1 246160,00 руб.,</w:t>
            </w:r>
          </w:p>
          <w:p w:rsidR="00EE5277" w:rsidRDefault="00EE5277" w:rsidP="00B9506A">
            <w:pPr>
              <w:pStyle w:val="a4"/>
            </w:pPr>
            <w:r>
              <w:t>2017 год - 0,00 руб.,</w:t>
            </w:r>
          </w:p>
          <w:p w:rsidR="00EE5277" w:rsidRDefault="00EE5277" w:rsidP="00B9506A">
            <w:pPr>
              <w:pStyle w:val="a4"/>
            </w:pPr>
            <w:r>
              <w:t>2018 год - 0,00 руб.,</w:t>
            </w:r>
          </w:p>
          <w:p w:rsidR="00EE5277" w:rsidRDefault="00EE5277" w:rsidP="00B9506A">
            <w:pPr>
              <w:pStyle w:val="a4"/>
            </w:pPr>
            <w:r>
              <w:t>2019 год - 0,00 руб.;</w:t>
            </w:r>
          </w:p>
          <w:p w:rsidR="00EE5277" w:rsidRDefault="00EE5277" w:rsidP="00B9506A">
            <w:pPr>
              <w:pStyle w:val="a4"/>
            </w:pPr>
            <w:r>
              <w:t>Бюджет МО «Город Астрахань» составляет: 118 571 318,72 рублей, в том числе по годам:</w:t>
            </w:r>
          </w:p>
          <w:p w:rsidR="00EE5277" w:rsidRDefault="00EE5277" w:rsidP="00B9506A">
            <w:pPr>
              <w:pStyle w:val="a4"/>
            </w:pPr>
            <w:r>
              <w:t xml:space="preserve">2016 год - 55 141496,72руб.; </w:t>
            </w:r>
          </w:p>
          <w:p w:rsidR="00EE5277" w:rsidRDefault="00EE5277" w:rsidP="00B9506A">
            <w:pPr>
              <w:pStyle w:val="a4"/>
            </w:pPr>
            <w:r>
              <w:t>2017 год - 2 293 796,00 руб.;</w:t>
            </w:r>
          </w:p>
          <w:p w:rsidR="00EE5277" w:rsidRDefault="00EE5277" w:rsidP="00B9506A">
            <w:pPr>
              <w:pStyle w:val="a4"/>
            </w:pPr>
            <w:r>
              <w:t>2018 год - 30 568 013,00 руб.;</w:t>
            </w:r>
          </w:p>
          <w:p w:rsidR="00EE5277" w:rsidRDefault="00EE5277" w:rsidP="00B9506A">
            <w:pPr>
              <w:pStyle w:val="a4"/>
            </w:pPr>
            <w:r>
              <w:t>2019 год - 30 568 013,00 руб.</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Ожидаемые конечные результаты реализации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В результате реализации Программы ожидается достижение следующих результатов:</w:t>
            </w:r>
          </w:p>
          <w:p w:rsidR="00EE5277" w:rsidRDefault="00EE5277" w:rsidP="00B9506A">
            <w:pPr>
              <w:pStyle w:val="a4"/>
            </w:pPr>
            <w:r>
              <w:t>- увеличение доли территории, на которой улучшилась экологическая обстановка, от общей площади экологически загрязненной территории - до 41,7%;</w:t>
            </w:r>
          </w:p>
          <w:p w:rsidR="00EE5277" w:rsidRDefault="00EE5277" w:rsidP="00B9506A">
            <w:pPr>
              <w:pStyle w:val="a4"/>
            </w:pPr>
            <w:r>
              <w:t>- доля ликвидированных нарушений, выявленных при контроле качества внутригородских водоемов - до 100% (ежегодно);</w:t>
            </w:r>
          </w:p>
          <w:p w:rsidR="00EE5277" w:rsidRDefault="00EE5277" w:rsidP="00B9506A">
            <w:pPr>
              <w:pStyle w:val="a4"/>
            </w:pPr>
            <w:r>
              <w:t xml:space="preserve">- увеличение доли </w:t>
            </w:r>
            <w:proofErr w:type="spellStart"/>
            <w:r>
              <w:t>рекультивируемых</w:t>
            </w:r>
            <w:proofErr w:type="spellEnd"/>
            <w:r>
              <w:t xml:space="preserve"> земель от общего количества земель, подлежащих рекультивации - до 52,8%;</w:t>
            </w:r>
          </w:p>
          <w:p w:rsidR="00EE5277" w:rsidRDefault="00EE5277" w:rsidP="00B9506A">
            <w:pPr>
              <w:pStyle w:val="a4"/>
            </w:pPr>
            <w:r>
              <w:t>- количество контейнерных площадок - 248 шт. в 2016 г.;</w:t>
            </w:r>
          </w:p>
          <w:p w:rsidR="00EE5277" w:rsidRDefault="00EE5277" w:rsidP="00B9506A">
            <w:pPr>
              <w:pStyle w:val="a4"/>
            </w:pPr>
            <w:r>
              <w:t xml:space="preserve">- доля объектов инженерной защиты, на которые зарегистрировано право </w:t>
            </w:r>
            <w:proofErr w:type="gramStart"/>
            <w:r>
              <w:t>собственности</w:t>
            </w:r>
            <w:proofErr w:type="gramEnd"/>
            <w:r>
              <w:t xml:space="preserve"> составит 14%</w:t>
            </w:r>
          </w:p>
        </w:tc>
      </w:tr>
      <w:tr w:rsidR="00EE5277" w:rsidTr="00B9506A">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 xml:space="preserve">Система организации </w:t>
            </w:r>
            <w:proofErr w:type="gramStart"/>
            <w:r>
              <w:t>контроля за</w:t>
            </w:r>
            <w:proofErr w:type="gramEnd"/>
            <w:r>
              <w:t xml:space="preserve"> исполнением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E5277" w:rsidRDefault="00EE5277" w:rsidP="00B9506A">
            <w:pPr>
              <w:pStyle w:val="a4"/>
            </w:pPr>
            <w:r>
              <w:t xml:space="preserve">Управление по коммунальному хозяйству и благоустройству администрации муниципального образования «Город Астрахань» осуществляет </w:t>
            </w:r>
            <w:proofErr w:type="gramStart"/>
            <w:r>
              <w:t>контроль за</w:t>
            </w:r>
            <w:proofErr w:type="gramEnd"/>
            <w:r>
              <w:t xml:space="preserve"> реализацией Программы</w:t>
            </w:r>
          </w:p>
        </w:tc>
      </w:tr>
    </w:tbl>
    <w:p w:rsidR="00EE5277" w:rsidRDefault="00EE5277" w:rsidP="00EE5277">
      <w:pPr>
        <w:pStyle w:val="a3"/>
      </w:pPr>
    </w:p>
    <w:p w:rsidR="00EE5277" w:rsidRDefault="00EE5277" w:rsidP="00EE5277">
      <w:pPr>
        <w:pStyle w:val="a3"/>
      </w:pPr>
    </w:p>
    <w:p w:rsidR="00EE5277" w:rsidRDefault="00EE5277" w:rsidP="00EE5277">
      <w:pPr>
        <w:pStyle w:val="a3"/>
      </w:pPr>
      <w:r>
        <w:t>2. Характеристика проблемы в рассматриваемой сфере и прогноз развития ситуации с учетом реализации муниципальной программы.</w:t>
      </w:r>
    </w:p>
    <w:p w:rsidR="00EE5277" w:rsidRDefault="00EE5277" w:rsidP="00EE5277">
      <w:pPr>
        <w:pStyle w:val="a3"/>
      </w:pPr>
      <w:r>
        <w:t>К основным проблемам охраны окружающей среды города Астрахани относятся загрязнение почв и деградация земель в результате накопления ТБО, загрязнение водоемов и воздуха.</w:t>
      </w:r>
    </w:p>
    <w:p w:rsidR="00EE5277" w:rsidRDefault="00EE5277" w:rsidP="00EE5277">
      <w:pPr>
        <w:pStyle w:val="a3"/>
      </w:pPr>
      <w:r>
        <w:t xml:space="preserve">Бытовые отходы от жилищного сектора города Астрахани, а также промышленные отходы IV класса размещаются на полигоне ТБО, который расположен на землях Приволжского района Астраханской области в районе пос. </w:t>
      </w:r>
      <w:proofErr w:type="spellStart"/>
      <w:r>
        <w:t>Фунтово</w:t>
      </w:r>
      <w:proofErr w:type="spellEnd"/>
      <w:r>
        <w:t>.</w:t>
      </w:r>
    </w:p>
    <w:p w:rsidR="00EE5277" w:rsidRDefault="00EE5277" w:rsidP="00EE5277">
      <w:pPr>
        <w:pStyle w:val="a3"/>
      </w:pPr>
      <w:r>
        <w:lastRenderedPageBreak/>
        <w:t xml:space="preserve">Полигон захоронения твердых бытовых отходов в пос. </w:t>
      </w:r>
      <w:proofErr w:type="spellStart"/>
      <w:r>
        <w:t>Фунтово</w:t>
      </w:r>
      <w:proofErr w:type="spellEnd"/>
      <w:r>
        <w:t xml:space="preserve"> был введен в эксплуатацию в 1984 году с планируемым сроком эксплуатации 25 лет, который был продлен в 2009 году на 5 лет. Технология, используемая для захоронения ТБО на старом полигоне - захоронение методом уплотнения и пересыпки грунтом по выравнивающей высотной схеме. В соответствии с Федеральным законом «Об отходах производства и потребления» и Земельным кодексом Российской Федерации, перед закрытием полигона необходимо провести его рекультивацию. В соответствии с порядком предоставления субсидий из бюджета Астраханской области муниципальным образованиям Астраханской области на реализацию мероприятий подпрограммы «Ликвидация накопленного экологического ущерба на территории Астраханской области» государственной программы «Охрана окружающей среды Астраханской области», одним из условий предоставления субсидии является:</w:t>
      </w:r>
    </w:p>
    <w:p w:rsidR="00EE5277" w:rsidRDefault="00EE5277" w:rsidP="00EE5277">
      <w:pPr>
        <w:pStyle w:val="a3"/>
      </w:pPr>
      <w:r>
        <w:t xml:space="preserve">- «наличие предусмотренных в бюджете муниципального образования бюджетных ассигнований на </w:t>
      </w:r>
      <w:proofErr w:type="spellStart"/>
      <w:r>
        <w:t>софинансирование</w:t>
      </w:r>
      <w:proofErr w:type="spellEnd"/>
      <w:r>
        <w:t xml:space="preserve"> мероприятий, предусмотренных государственной программой в размере не менее 5% от суммы затрат по данным мероприятиям».</w:t>
      </w:r>
    </w:p>
    <w:p w:rsidR="00EE5277" w:rsidRDefault="00EE5277" w:rsidP="00EE5277">
      <w:pPr>
        <w:pStyle w:val="a3"/>
      </w:pPr>
      <w:r>
        <w:t xml:space="preserve">В соответствии с законом Астраханской области «О бюджете Астраханской области», на реализацию данного мероприятия предусмотрено 1 246 160,0 руб. </w:t>
      </w:r>
    </w:p>
    <w:p w:rsidR="00EE5277" w:rsidRDefault="00EE5277" w:rsidP="00EE5277">
      <w:pPr>
        <w:pStyle w:val="a3"/>
      </w:pPr>
      <w:r>
        <w:t xml:space="preserve">Учитывая сроки реализации работ по рекультивации (в среднем 2-3 месяца) и то, что до настоящего времени соглашение на реализацию данного мероприятия в администрацию муниципального образования «Город Астрахань» не поступало, освоить данные лимиты бюджетных ассигнований не представляется возможным. </w:t>
      </w:r>
    </w:p>
    <w:p w:rsidR="00EE5277" w:rsidRDefault="00EE5277" w:rsidP="00EE5277">
      <w:pPr>
        <w:pStyle w:val="a3"/>
      </w:pPr>
      <w:r>
        <w:t xml:space="preserve">Также требуется провести рекультивацию земель, прилегающих к домам № 8а, 10б по ул. </w:t>
      </w:r>
      <w:proofErr w:type="spellStart"/>
      <w:r>
        <w:t>Ботвина</w:t>
      </w:r>
      <w:proofErr w:type="spellEnd"/>
      <w:r>
        <w:t xml:space="preserve">, дому № 33 по ул. </w:t>
      </w:r>
      <w:proofErr w:type="gramStart"/>
      <w:r>
        <w:t>Красноармейская</w:t>
      </w:r>
      <w:proofErr w:type="gramEnd"/>
      <w:r>
        <w:t xml:space="preserve"> в связи с угрозой здоровью населения города в результате сбросов нефтесодержащих отходов производства (битума) на территории бывшего битумного завода и высоким загрязнением указанных земель. В связи с выявлением дополнительной территории, загрязненной нефтепродуктами, между домами № 33 и № 37 по ул. Красноармейская, потребуется корректировка проектной документации. Кроме того, необходимо выполнить инженерно-геодезические, инженерно-геологические и инженерно-экологические изыскания на дополнительную площадь загрязнения.</w:t>
      </w:r>
    </w:p>
    <w:p w:rsidR="00EE5277" w:rsidRDefault="00EE5277" w:rsidP="00EE5277">
      <w:pPr>
        <w:pStyle w:val="a3"/>
        <w:rPr>
          <w:spacing w:val="2"/>
        </w:rPr>
      </w:pPr>
      <w:r>
        <w:rPr>
          <w:spacing w:val="2"/>
        </w:rPr>
        <w:t xml:space="preserve">Учитывая </w:t>
      </w:r>
      <w:proofErr w:type="gramStart"/>
      <w:r>
        <w:rPr>
          <w:spacing w:val="2"/>
        </w:rPr>
        <w:t>изложенное</w:t>
      </w:r>
      <w:proofErr w:type="gramEnd"/>
      <w:r>
        <w:rPr>
          <w:spacing w:val="2"/>
        </w:rPr>
        <w:t xml:space="preserve">, работы по проведению третьего этапа рекультивации земель, прилегающих к домам №№ 8а,10б по ул. </w:t>
      </w:r>
      <w:proofErr w:type="spellStart"/>
      <w:r>
        <w:rPr>
          <w:spacing w:val="2"/>
        </w:rPr>
        <w:t>Ботвина</w:t>
      </w:r>
      <w:proofErr w:type="spellEnd"/>
      <w:r>
        <w:rPr>
          <w:spacing w:val="2"/>
        </w:rPr>
        <w:t xml:space="preserve">, к дому № 33 по ул. Красноармейская г. Астрахани, временно приостановлены на период уточнения стоимости работ. </w:t>
      </w:r>
    </w:p>
    <w:p w:rsidR="00EE5277" w:rsidRDefault="00EE5277" w:rsidP="00EE5277">
      <w:pPr>
        <w:pStyle w:val="a3"/>
      </w:pPr>
      <w:proofErr w:type="gramStart"/>
      <w:r>
        <w:t>В настоящее время подготовлены документы на проведение электронного аукциона на проведение работ по корректировке проектной документации по объекту</w:t>
      </w:r>
      <w:proofErr w:type="gramEnd"/>
      <w:r>
        <w:t xml:space="preserve"> «Рекультивация земель, прилегающих к домам №№ 8а,10б по ул. </w:t>
      </w:r>
      <w:proofErr w:type="spellStart"/>
      <w:r>
        <w:t>Ботвина</w:t>
      </w:r>
      <w:proofErr w:type="spellEnd"/>
      <w:r>
        <w:t>, к дому № 33 по ул. Красноармейская г. Астрахани».</w:t>
      </w:r>
    </w:p>
    <w:p w:rsidR="00EE5277" w:rsidRDefault="00EE5277" w:rsidP="00EE5277">
      <w:pPr>
        <w:pStyle w:val="a3"/>
      </w:pPr>
      <w:r>
        <w:t xml:space="preserve">В рамках ведомственной целевой программы муниципального образования «Город Астрахань» «Охрана окружающей среды на 2014-2015 годы» были частично реализованы мероприятия по рекультивации полигона ТБО (пос. </w:t>
      </w:r>
      <w:proofErr w:type="spellStart"/>
      <w:r>
        <w:t>Фунтово</w:t>
      </w:r>
      <w:proofErr w:type="spellEnd"/>
      <w:r>
        <w:t xml:space="preserve">) - 4 га. В связи с недостаточным финансированием и большим объемом работ, мероприятия не </w:t>
      </w:r>
      <w:proofErr w:type="gramStart"/>
      <w:r>
        <w:t>были реализованы в полном объеме и возникла</w:t>
      </w:r>
      <w:proofErr w:type="gramEnd"/>
      <w:r>
        <w:t xml:space="preserve"> необходимость в реализации мероприятий в 2016-2019 годах.</w:t>
      </w:r>
    </w:p>
    <w:p w:rsidR="00EE5277" w:rsidRDefault="00EE5277" w:rsidP="00EE5277">
      <w:pPr>
        <w:pStyle w:val="a3"/>
      </w:pPr>
      <w:r>
        <w:t xml:space="preserve">Подавляющее большинство очистных сооружений канализации города устарели и не отвечают современным требованиям экологической безопасности, вследствие чего в водные объекты сбрасываются неочищенные до нормативных требований сточные воды, что влечет за собой необходимость модернизации очистных сооружений и ведение аналитического </w:t>
      </w:r>
      <w:proofErr w:type="gramStart"/>
      <w:r>
        <w:t>контроля за</w:t>
      </w:r>
      <w:proofErr w:type="gramEnd"/>
      <w:r>
        <w:t xml:space="preserve"> качеством сбросных вод и состоянием водных объектов города. В рамках ведомственной целевой программы муниципального образования «Город Астрахань» «Охрана окружающей среды на 2014-2015 год» мероприятие по ведению аналитического </w:t>
      </w:r>
      <w:proofErr w:type="gramStart"/>
      <w:r>
        <w:t>контроля за</w:t>
      </w:r>
      <w:proofErr w:type="gramEnd"/>
      <w:r>
        <w:t xml:space="preserve"> качеством сбросных вод и состоянием водных объектов города Астрахани было реализовано в полном объеме. В соответствии с законодательством РФ, аналитический контроль осуществляется постоянно, таким образом, данное мероприятие необходимо включить в Программу.</w:t>
      </w:r>
    </w:p>
    <w:p w:rsidR="00EE5277" w:rsidRDefault="00EE5277" w:rsidP="00EE5277">
      <w:pPr>
        <w:pStyle w:val="a3"/>
      </w:pPr>
      <w:r>
        <w:t>Муниципальная программа предусматривает комплексное решение вопросов, связанных с реабилитацией объектов экологического ущерба, предотвращением дальнейшего накопления отходов производства, в том числе с реализацией мер и внедрением механизмов, способствующих оздоровлению микроклимата территорий, подверженных негативному воздействию отходов, с предупреждением негативного воздействия объектов прошлой хозяйственной деятельности.</w:t>
      </w:r>
    </w:p>
    <w:p w:rsidR="00EE5277" w:rsidRDefault="00EE5277" w:rsidP="00EE5277">
      <w:pPr>
        <w:pStyle w:val="a3"/>
      </w:pPr>
      <w:proofErr w:type="gramStart"/>
      <w:r>
        <w:t>Программно-целевой метод позволит объединить в единую систему отдельные мероприятия и добиться максимального социально-экономического эффекта, выраженного в гарантированном обеспечении потребностей экономики в экологически чистых земельных и водных ресурсах, сокращении уровня негативного воздействия на окружающую среду, снижении заболеваемости и увеличении продолжительности жизни населения, сбалансированном развитии территорий и отраслей региональной экономики, повышении защищенности населения и территорий от негативного воздействия объектов экологического ущерба, формировании</w:t>
      </w:r>
      <w:proofErr w:type="gramEnd"/>
      <w:r>
        <w:t xml:space="preserve"> и </w:t>
      </w:r>
      <w:proofErr w:type="gramStart"/>
      <w:r>
        <w:t>проведении</w:t>
      </w:r>
      <w:proofErr w:type="gramEnd"/>
      <w:r>
        <w:t xml:space="preserve"> единой государственной политики в области использования и охраны окружающей среды и создании условий для развития экономики города Астрахани.</w:t>
      </w:r>
    </w:p>
    <w:p w:rsidR="00EE5277" w:rsidRDefault="00EE5277" w:rsidP="00EE5277">
      <w:pPr>
        <w:pStyle w:val="a3"/>
      </w:pPr>
      <w:r>
        <w:t>3. Цели, задачи, целевые индикаторы и показатели муниципальной программы.</w:t>
      </w:r>
    </w:p>
    <w:p w:rsidR="00EE5277" w:rsidRDefault="00EE5277" w:rsidP="00EE5277">
      <w:pPr>
        <w:pStyle w:val="a3"/>
      </w:pPr>
      <w:r>
        <w:t>Основной целью муниципальной программы является улучшение экологической обстановки на территории города Астрахани.</w:t>
      </w:r>
    </w:p>
    <w:p w:rsidR="00EE5277" w:rsidRDefault="00EE5277" w:rsidP="00EE5277">
      <w:pPr>
        <w:pStyle w:val="a3"/>
      </w:pPr>
      <w:r>
        <w:t>Задачами Программы являются:</w:t>
      </w:r>
    </w:p>
    <w:p w:rsidR="00EE5277" w:rsidRDefault="00EE5277" w:rsidP="00EE5277">
      <w:pPr>
        <w:pStyle w:val="a3"/>
      </w:pPr>
      <w:r>
        <w:t>- поддержание качественного состояния внутригородских водоемов;</w:t>
      </w:r>
    </w:p>
    <w:p w:rsidR="00EE5277" w:rsidRDefault="00EE5277" w:rsidP="00EE5277">
      <w:pPr>
        <w:pStyle w:val="a3"/>
      </w:pPr>
      <w:r>
        <w:t>- обеспечение охраны земельных ресурсов (восстановление нарушенных земель);</w:t>
      </w:r>
    </w:p>
    <w:p w:rsidR="00EE5277" w:rsidRDefault="00EE5277" w:rsidP="00EE5277">
      <w:pPr>
        <w:pStyle w:val="a3"/>
      </w:pPr>
      <w:r>
        <w:t>- поддержание санитарного состояния на территории контейнерных площадок;</w:t>
      </w:r>
    </w:p>
    <w:p w:rsidR="00EE5277" w:rsidRDefault="00EE5277" w:rsidP="00EE5277">
      <w:pPr>
        <w:pStyle w:val="a3"/>
      </w:pPr>
      <w:r>
        <w:rPr>
          <w:spacing w:val="2"/>
        </w:rPr>
        <w:t xml:space="preserve">- регистрация права собственности на объекты инженерной защиты </w:t>
      </w:r>
      <w:proofErr w:type="gramStart"/>
      <w:r>
        <w:rPr>
          <w:spacing w:val="2"/>
        </w:rPr>
        <w:t>г</w:t>
      </w:r>
      <w:proofErr w:type="gramEnd"/>
      <w:r>
        <w:rPr>
          <w:spacing w:val="2"/>
        </w:rPr>
        <w:t>, Астрахани.</w:t>
      </w:r>
    </w:p>
    <w:p w:rsidR="00EE5277" w:rsidRDefault="00EE5277" w:rsidP="00EE5277">
      <w:pPr>
        <w:pStyle w:val="a3"/>
      </w:pPr>
      <w:r>
        <w:t>Показатели (индикаторы) Программы:</w:t>
      </w:r>
    </w:p>
    <w:p w:rsidR="00EE5277" w:rsidRDefault="00EE5277" w:rsidP="00EE5277">
      <w:pPr>
        <w:pStyle w:val="a3"/>
      </w:pPr>
      <w:r>
        <w:lastRenderedPageBreak/>
        <w:t>- доля территории, на которой улучшилась экологическая обстановка, от общей площади экологически загрязненной территории;</w:t>
      </w:r>
    </w:p>
    <w:p w:rsidR="00EE5277" w:rsidRDefault="00EE5277" w:rsidP="00EE5277">
      <w:pPr>
        <w:pStyle w:val="a3"/>
      </w:pPr>
      <w:r>
        <w:t>- доля ликвидированных нарушений, выявленных при контроле качества внутригородских водоемов;</w:t>
      </w:r>
    </w:p>
    <w:p w:rsidR="00EE5277" w:rsidRDefault="00EE5277" w:rsidP="00EE5277">
      <w:pPr>
        <w:pStyle w:val="a3"/>
      </w:pPr>
      <w:r>
        <w:t xml:space="preserve">- доля </w:t>
      </w:r>
      <w:proofErr w:type="spellStart"/>
      <w:r>
        <w:t>рекультивируемых</w:t>
      </w:r>
      <w:proofErr w:type="spellEnd"/>
      <w:r>
        <w:t xml:space="preserve"> земель от общего количества земель, подлежащих рекультивации;</w:t>
      </w:r>
    </w:p>
    <w:p w:rsidR="00EE5277" w:rsidRDefault="00EE5277" w:rsidP="00EE5277">
      <w:pPr>
        <w:pStyle w:val="a3"/>
      </w:pPr>
      <w:r>
        <w:t>- количество контейнерных площадок;</w:t>
      </w:r>
    </w:p>
    <w:p w:rsidR="00EE5277" w:rsidRDefault="00EE5277" w:rsidP="00EE5277">
      <w:pPr>
        <w:pStyle w:val="a3"/>
      </w:pPr>
      <w:r>
        <w:t>- доля объектов инженерной защиты, на которые зарегистрировано право собственности.</w:t>
      </w:r>
    </w:p>
    <w:p w:rsidR="00EE5277" w:rsidRDefault="00EE5277" w:rsidP="00EE5277">
      <w:pPr>
        <w:pStyle w:val="a3"/>
      </w:pPr>
      <w:r>
        <w:t>Полный перечень показателей (индикаторов) Программы и их значений приводятся в приложении 1 к настоящей муниципальной программе.</w:t>
      </w:r>
    </w:p>
    <w:p w:rsidR="00EE5277" w:rsidRDefault="00EE5277" w:rsidP="00EE5277">
      <w:pPr>
        <w:pStyle w:val="a3"/>
      </w:pPr>
      <w:r>
        <w:t>4. Сроки (этапы) реализации муниципальной программы.</w:t>
      </w:r>
    </w:p>
    <w:p w:rsidR="00EE5277" w:rsidRDefault="00EE5277" w:rsidP="00EE5277">
      <w:pPr>
        <w:pStyle w:val="a3"/>
      </w:pPr>
      <w:r>
        <w:t xml:space="preserve">Программа должна быть реализована в течение 2016-2019 годов. </w:t>
      </w:r>
    </w:p>
    <w:p w:rsidR="00EE5277" w:rsidRDefault="00EE5277" w:rsidP="00EE5277">
      <w:pPr>
        <w:pStyle w:val="a3"/>
      </w:pPr>
      <w:r>
        <w:t>5. Перечень программных мероприятий, входящих в муниципальную программу.</w:t>
      </w:r>
    </w:p>
    <w:p w:rsidR="00EE5277" w:rsidRDefault="00EE5277" w:rsidP="00EE5277">
      <w:pPr>
        <w:pStyle w:val="a3"/>
      </w:pPr>
      <w:r>
        <w:t>Мероприятия муниципальной программы направлены на сохранение благоприятной окружающей среды и обеспечение экологической безопасности населения города Астрахани.</w:t>
      </w:r>
    </w:p>
    <w:p w:rsidR="00EE5277" w:rsidRDefault="00EE5277" w:rsidP="00EE5277">
      <w:pPr>
        <w:pStyle w:val="a3"/>
      </w:pPr>
      <w:r>
        <w:t>Полный перечень мероприятий муниципальной программы представлен в приложении 1 к настоящей муниципальной программе.</w:t>
      </w:r>
    </w:p>
    <w:p w:rsidR="00EE5277" w:rsidRDefault="00EE5277" w:rsidP="00EE5277">
      <w:pPr>
        <w:pStyle w:val="a3"/>
      </w:pPr>
      <w:r>
        <w:t>6. Ресурсное обеспечение муниципальной программы.</w:t>
      </w:r>
    </w:p>
    <w:p w:rsidR="00EE5277" w:rsidRDefault="00EE5277" w:rsidP="00EE5277">
      <w:pPr>
        <w:pStyle w:val="a3"/>
      </w:pPr>
      <w:r>
        <w:t>Реализацию мероприятий муниципальной программы планируется осуществлять за счет средств бюджета муниципального образования «Город Астрахань» и субсидий из бюджета Астраханской области.</w:t>
      </w:r>
    </w:p>
    <w:p w:rsidR="00EE5277" w:rsidRDefault="00EE5277" w:rsidP="00EE5277">
      <w:pPr>
        <w:pStyle w:val="a3"/>
      </w:pPr>
      <w:r>
        <w:t xml:space="preserve">Объем финансирования муниципальной программы составляет 119 817 478,72 руб. </w:t>
      </w:r>
    </w:p>
    <w:p w:rsidR="00EE5277" w:rsidRDefault="00EE5277" w:rsidP="00EE5277">
      <w:pPr>
        <w:pStyle w:val="a3"/>
      </w:pPr>
      <w:r>
        <w:t>Бюджет муниципального образования «Город Астрахань» составляет 118 571 318,72 руб., в том числе по годам реализации:</w:t>
      </w:r>
    </w:p>
    <w:p w:rsidR="00EE5277" w:rsidRDefault="00EE5277" w:rsidP="00EE5277">
      <w:pPr>
        <w:pStyle w:val="a3"/>
      </w:pPr>
      <w:r>
        <w:t>- 2016 год - 55141496,72 руб.;</w:t>
      </w:r>
    </w:p>
    <w:p w:rsidR="00EE5277" w:rsidRDefault="00EE5277" w:rsidP="00EE5277">
      <w:pPr>
        <w:pStyle w:val="a3"/>
      </w:pPr>
      <w:r>
        <w:t>- 2017 год - 2 293 796,00 руб.;</w:t>
      </w:r>
    </w:p>
    <w:p w:rsidR="00EE5277" w:rsidRDefault="00EE5277" w:rsidP="00EE5277">
      <w:pPr>
        <w:pStyle w:val="a3"/>
      </w:pPr>
      <w:r>
        <w:t>- 2018 год - 30 568 013,00 руб.;</w:t>
      </w:r>
    </w:p>
    <w:p w:rsidR="00EE5277" w:rsidRDefault="00EE5277" w:rsidP="00EE5277">
      <w:pPr>
        <w:pStyle w:val="a3"/>
      </w:pPr>
      <w:r>
        <w:t xml:space="preserve">- 2019 год - 30 568 013,00 руб. </w:t>
      </w:r>
    </w:p>
    <w:p w:rsidR="00EE5277" w:rsidRDefault="00EE5277" w:rsidP="00EE5277">
      <w:pPr>
        <w:pStyle w:val="a3"/>
      </w:pPr>
      <w:r>
        <w:t>Бюджет Астраханской области составляет 1 246160,00 руб., в том числе по годам:</w:t>
      </w:r>
    </w:p>
    <w:p w:rsidR="00EE5277" w:rsidRDefault="00EE5277" w:rsidP="00EE5277">
      <w:pPr>
        <w:pStyle w:val="a3"/>
      </w:pPr>
      <w:r>
        <w:t>- 2016 год - 1 246 160,00 руб.;</w:t>
      </w:r>
    </w:p>
    <w:p w:rsidR="00EE5277" w:rsidRDefault="00EE5277" w:rsidP="00EE5277">
      <w:pPr>
        <w:pStyle w:val="a3"/>
      </w:pPr>
      <w:r>
        <w:t>- 2017 год - 0,00 руб.;</w:t>
      </w:r>
    </w:p>
    <w:p w:rsidR="00EE5277" w:rsidRDefault="00EE5277" w:rsidP="00EE5277">
      <w:pPr>
        <w:pStyle w:val="a3"/>
      </w:pPr>
      <w:r>
        <w:t>- 2018 год - 0,00 руб.;</w:t>
      </w:r>
    </w:p>
    <w:p w:rsidR="00EE5277" w:rsidRDefault="00EE5277" w:rsidP="00EE5277">
      <w:pPr>
        <w:pStyle w:val="a3"/>
      </w:pPr>
      <w:r>
        <w:t xml:space="preserve">- 2019 год - 0,00 руб. </w:t>
      </w:r>
    </w:p>
    <w:p w:rsidR="00EE5277" w:rsidRDefault="00EE5277" w:rsidP="00EE5277">
      <w:pPr>
        <w:pStyle w:val="a3"/>
      </w:pPr>
      <w: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EE5277" w:rsidRDefault="00EE5277" w:rsidP="00EE5277">
      <w:pPr>
        <w:pStyle w:val="a3"/>
      </w:pPr>
      <w:r>
        <w:t>Распределение расходов по мероприятиям Программы представлено в приложении 2 к настоящей муниципальной программе.</w:t>
      </w:r>
    </w:p>
    <w:p w:rsidR="00EE5277" w:rsidRDefault="00EE5277" w:rsidP="00EE5277">
      <w:pPr>
        <w:pStyle w:val="a3"/>
      </w:pPr>
      <w:r>
        <w:t>7. Механизм реализации муниципальной программы.</w:t>
      </w:r>
    </w:p>
    <w:p w:rsidR="00EE5277" w:rsidRDefault="00EE5277" w:rsidP="00EE5277">
      <w:pPr>
        <w:pStyle w:val="a3"/>
      </w:pPr>
      <w:r>
        <w:t>Управление по коммунальному хозяйству и благоустройству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EE5277" w:rsidRDefault="00EE5277" w:rsidP="00EE5277">
      <w:pPr>
        <w:pStyle w:val="a3"/>
      </w:pPr>
      <w:r>
        <w:t xml:space="preserve">- разработку проектов нормативных правовых актов органов местного </w:t>
      </w:r>
      <w:proofErr w:type="gramStart"/>
      <w:r>
        <w:t>само­управления</w:t>
      </w:r>
      <w:proofErr w:type="gramEnd"/>
      <w:r>
        <w:t xml:space="preserve"> муниципального образования «Город Астрахань», внесение изменений в действующие нормативные правовые акты органов местного самоуправления муниципального образования «Город Астрахань», необходимые для выполнения муниципальной программы;</w:t>
      </w:r>
    </w:p>
    <w:p w:rsidR="00EE5277" w:rsidRDefault="00EE5277" w:rsidP="00EE5277">
      <w:pPr>
        <w:pStyle w:val="a3"/>
      </w:pPr>
      <w:r>
        <w:t>- уточнение объемов финансирования по программным мероприятиям на очередной финансовый год и на плановый период;</w:t>
      </w:r>
    </w:p>
    <w:p w:rsidR="00EE5277" w:rsidRDefault="00EE5277" w:rsidP="00EE5277">
      <w:pPr>
        <w:pStyle w:val="a3"/>
      </w:pPr>
      <w:r>
        <w:t>- управление муниципальной программой, эффективное использование средств, выделенных на ее реализацию;</w:t>
      </w:r>
    </w:p>
    <w:p w:rsidR="00EE5277" w:rsidRDefault="00EE5277" w:rsidP="00EE5277">
      <w:pPr>
        <w:pStyle w:val="a3"/>
      </w:pPr>
      <w:r>
        <w:t>- достижение запланированных результатов;</w:t>
      </w:r>
    </w:p>
    <w:p w:rsidR="00EE5277" w:rsidRDefault="00EE5277" w:rsidP="00EE5277">
      <w:pPr>
        <w:pStyle w:val="a3"/>
      </w:pPr>
      <w: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EE5277" w:rsidRDefault="00EE5277" w:rsidP="00EE5277">
      <w:pPr>
        <w:pStyle w:val="a3"/>
      </w:pPr>
      <w:r>
        <w:t xml:space="preserve">8. Сведения об ответственном исполнителе, соисполнителях муниципальной программы (подпрограммы), организация управления муниципальной программой и </w:t>
      </w:r>
      <w:proofErr w:type="gramStart"/>
      <w:r>
        <w:t>контроль за</w:t>
      </w:r>
      <w:proofErr w:type="gramEnd"/>
      <w:r>
        <w:t xml:space="preserve"> ходом ее реализации.</w:t>
      </w:r>
    </w:p>
    <w:p w:rsidR="00EE5277" w:rsidRDefault="00EE5277" w:rsidP="00EE5277">
      <w:pPr>
        <w:pStyle w:val="a3"/>
      </w:pPr>
      <w:r>
        <w:t>Ответственным исполнителем муниципальной программы является управление по коммунальному хозяйству и благоустройству администрации муниципального образования «Город Астрахань».</w:t>
      </w:r>
    </w:p>
    <w:p w:rsidR="00EE5277" w:rsidRDefault="00EE5277" w:rsidP="00EE5277">
      <w:pPr>
        <w:pStyle w:val="a3"/>
      </w:pPr>
      <w:r>
        <w:t>Ответственный исполнитель осуществляет управление реализацией муниципальной программы, а именно:</w:t>
      </w:r>
    </w:p>
    <w:p w:rsidR="00EE5277" w:rsidRDefault="00EE5277" w:rsidP="00EE5277">
      <w:pPr>
        <w:pStyle w:val="a3"/>
      </w:pPr>
      <w: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EE5277" w:rsidRDefault="00EE5277" w:rsidP="00EE5277">
      <w:pPr>
        <w:pStyle w:val="a3"/>
      </w:pPr>
      <w:r>
        <w:t>- ежегодно осуществляет оценку достигнутых целей и эффективности реализации муниципальной программы;</w:t>
      </w:r>
    </w:p>
    <w:p w:rsidR="00EE5277" w:rsidRDefault="00EE5277" w:rsidP="00EE5277">
      <w:pPr>
        <w:pStyle w:val="a3"/>
      </w:pPr>
      <w:r>
        <w:t>- готовит и направляет в управление экономики администрации муниципального образования «Город Астрахань» отчеты о ходе реализации муниципальной программы по итогам:</w:t>
      </w:r>
    </w:p>
    <w:p w:rsidR="00EE5277" w:rsidRDefault="00EE5277" w:rsidP="00EE5277">
      <w:pPr>
        <w:pStyle w:val="a3"/>
      </w:pPr>
      <w:r>
        <w:t>• 1 квартала, 1 полугодия, 9 месяцев - до 20 числа месяца, следующего за отчетным периодом;</w:t>
      </w:r>
    </w:p>
    <w:p w:rsidR="00EE5277" w:rsidRDefault="00EE5277" w:rsidP="00EE5277">
      <w:pPr>
        <w:pStyle w:val="a3"/>
      </w:pPr>
      <w:r>
        <w:t xml:space="preserve">• года и по итогам реализации муниципальной программы за весь период ее действия (итоговый) - до 1 марта года, следующего за отчетным годом; </w:t>
      </w:r>
    </w:p>
    <w:p w:rsidR="00EE5277" w:rsidRDefault="00EE5277" w:rsidP="00EE5277">
      <w:pPr>
        <w:pStyle w:val="a3"/>
      </w:pPr>
      <w:r>
        <w:lastRenderedPageBreak/>
        <w:t>- на основании отчета об оценке эффективности реализации муниципальной программы представляет в управление экономики администрации муниципального образования «Город Астрахань»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EE5277" w:rsidRDefault="00EE5277" w:rsidP="00EE5277">
      <w:pPr>
        <w:pStyle w:val="a3"/>
      </w:pPr>
      <w:r>
        <w:t>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EE5277" w:rsidRDefault="00EE5277" w:rsidP="00EE5277">
      <w:pPr>
        <w:pStyle w:val="a3"/>
      </w:pPr>
      <w:r>
        <w:t>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части полномочий, предоставленных финансовым органам Бюджетным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В случае проведения контрольных проверок - управлением внутреннего муниципального финансового контроля администрации муниципального образования «Город Астрахань».</w:t>
      </w:r>
    </w:p>
    <w:p w:rsidR="00EE5277" w:rsidRDefault="00EE5277" w:rsidP="00EE5277">
      <w:pPr>
        <w:pStyle w:val="a3"/>
      </w:pPr>
      <w:r>
        <w:t>9. Оценка эффективности реализации муниципальной программы.</w:t>
      </w:r>
    </w:p>
    <w:p w:rsidR="00EE5277" w:rsidRDefault="00EE5277" w:rsidP="00EE5277">
      <w:pPr>
        <w:pStyle w:val="a3"/>
      </w:pPr>
      <w:r>
        <w:t>Оценка эффективности реализации Программы производится на основе использования целевых индикаторов, которые обеспечат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E5277" w:rsidRDefault="00EE5277" w:rsidP="00EE5277">
      <w:pPr>
        <w:pStyle w:val="a3"/>
      </w:pPr>
      <w:r>
        <w:t xml:space="preserve">Комплексный показатель эффективности реализации Программы оценивается на основании достижения целевых индикаторов Программы путем </w:t>
      </w:r>
      <w:proofErr w:type="gramStart"/>
      <w:r>
        <w:t>сопоставления</w:t>
      </w:r>
      <w:proofErr w:type="gramEnd"/>
      <w:r>
        <w:t xml:space="preserve"> фактически достигнутых индикаторов с их прогнозными значениями к уровню финансирования Программы.</w:t>
      </w:r>
    </w:p>
    <w:p w:rsidR="00EE5277" w:rsidRDefault="00EE5277" w:rsidP="00EE5277">
      <w:pPr>
        <w:pStyle w:val="a3"/>
      </w:pPr>
      <w:r>
        <w:t>Критерии оценки эффективности реализации муниципальной программы:</w:t>
      </w:r>
    </w:p>
    <w:p w:rsidR="00EE5277" w:rsidRDefault="00EE5277" w:rsidP="00EE5277">
      <w:pPr>
        <w:pStyle w:val="a3"/>
      </w:pPr>
      <w:r>
        <w:t>1) уровень освоения финансовых средств на реализацию муниципальной программы;</w:t>
      </w:r>
    </w:p>
    <w:p w:rsidR="00EE5277" w:rsidRDefault="00EE5277" w:rsidP="00EE5277">
      <w:pPr>
        <w:pStyle w:val="a3"/>
      </w:pPr>
      <w:r>
        <w:t>2) уровень достижения запланированных значений показателей (индикаторов).</w:t>
      </w:r>
    </w:p>
    <w:p w:rsidR="00677372" w:rsidRDefault="00EE5277" w:rsidP="00EE5277">
      <w:pPr>
        <w:pStyle w:val="a3"/>
      </w:pPr>
      <w:r>
        <w:t>1.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677372" w:rsidRDefault="00677372" w:rsidP="00EE5277">
      <w:pPr>
        <w:pStyle w:val="a3"/>
      </w:pPr>
      <w:r w:rsidRPr="00C33BA0">
        <w:rPr>
          <w:rFonts w:ascii="Sylfaen" w:hAnsi="Sylfaen" w:cs="Times New Roman"/>
          <w:noProof/>
          <w:sz w:val="16"/>
          <w:szCs w:val="28"/>
          <w:lang w:eastAsia="ru-RU"/>
        </w:rPr>
        <w:drawing>
          <wp:inline distT="0" distB="0" distL="0" distR="0" wp14:anchorId="5F9BE455" wp14:editId="7A936745">
            <wp:extent cx="1020445" cy="488950"/>
            <wp:effectExtent l="0" t="0" r="8255" b="635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488950"/>
                    </a:xfrm>
                    <a:prstGeom prst="rect">
                      <a:avLst/>
                    </a:prstGeom>
                    <a:noFill/>
                    <a:ln>
                      <a:noFill/>
                    </a:ln>
                  </pic:spPr>
                </pic:pic>
              </a:graphicData>
            </a:graphic>
          </wp:inline>
        </w:drawing>
      </w:r>
    </w:p>
    <w:p w:rsidR="00EE5277" w:rsidRDefault="00EE5277" w:rsidP="00EE5277">
      <w:pPr>
        <w:pStyle w:val="a3"/>
      </w:pPr>
      <w:r>
        <w:t>где:</w:t>
      </w:r>
    </w:p>
    <w:p w:rsidR="00EE5277" w:rsidRDefault="00EE5277" w:rsidP="00EE5277">
      <w:pPr>
        <w:pStyle w:val="a3"/>
      </w:pPr>
      <w:proofErr w:type="spellStart"/>
      <w:r>
        <w:t>Ф</w:t>
      </w:r>
      <w:proofErr w:type="gramStart"/>
      <w:r>
        <w:rPr>
          <w:vertAlign w:val="subscript"/>
        </w:rPr>
        <w:t>i</w:t>
      </w:r>
      <w:proofErr w:type="spellEnd"/>
      <w:proofErr w:type="gramEnd"/>
      <w:r>
        <w:t xml:space="preserve"> - уровень освоения финансовых средств на реализацию i-</w:t>
      </w:r>
      <w:proofErr w:type="spellStart"/>
      <w:r>
        <w:t>го</w:t>
      </w:r>
      <w:proofErr w:type="spellEnd"/>
      <w:r>
        <w:t xml:space="preserve"> программного мероприятия муниципальной программы (в процентах);</w:t>
      </w:r>
    </w:p>
    <w:p w:rsidR="00EE5277" w:rsidRDefault="00EE5277" w:rsidP="00EE5277">
      <w:pPr>
        <w:pStyle w:val="a3"/>
      </w:pPr>
      <w:proofErr w:type="spellStart"/>
      <w:r>
        <w:t>Ф</w:t>
      </w:r>
      <w:r>
        <w:rPr>
          <w:vertAlign w:val="subscript"/>
        </w:rPr>
        <w:t>Ф</w:t>
      </w:r>
      <w:proofErr w:type="gramStart"/>
      <w:r>
        <w:rPr>
          <w:vertAlign w:val="subscript"/>
        </w:rPr>
        <w:t>i</w:t>
      </w:r>
      <w:proofErr w:type="spellEnd"/>
      <w:proofErr w:type="gramEnd"/>
      <w:r>
        <w:t xml:space="preserve"> - фактический объем расходов на i-e программное мероприятие в отчетном периоде;</w:t>
      </w:r>
    </w:p>
    <w:p w:rsidR="00EE5277" w:rsidRDefault="00EE5277" w:rsidP="00EE5277">
      <w:pPr>
        <w:pStyle w:val="a3"/>
        <w:rPr>
          <w:spacing w:val="-2"/>
        </w:rPr>
      </w:pPr>
      <w:proofErr w:type="spellStart"/>
      <w:proofErr w:type="gramStart"/>
      <w:r>
        <w:rPr>
          <w:spacing w:val="-2"/>
        </w:rPr>
        <w:t>Ф</w:t>
      </w:r>
      <w:proofErr w:type="gramEnd"/>
      <w:r>
        <w:rPr>
          <w:spacing w:val="-2"/>
          <w:vertAlign w:val="subscript"/>
        </w:rPr>
        <w:t>ni</w:t>
      </w:r>
      <w:proofErr w:type="spellEnd"/>
      <w:r>
        <w:rPr>
          <w:spacing w:val="-2"/>
        </w:rPr>
        <w:t xml:space="preserve"> - плановый объем расходов i-</w:t>
      </w:r>
      <w:proofErr w:type="spellStart"/>
      <w:r>
        <w:rPr>
          <w:spacing w:val="-2"/>
        </w:rPr>
        <w:t>го</w:t>
      </w:r>
      <w:proofErr w:type="spellEnd"/>
      <w:r>
        <w:rPr>
          <w:spacing w:val="-2"/>
        </w:rPr>
        <w:t xml:space="preserve"> программного мероприятия на отчетный период;</w:t>
      </w:r>
    </w:p>
    <w:p w:rsidR="00EE5277" w:rsidRDefault="00EE5277" w:rsidP="00EE5277">
      <w:pPr>
        <w:pStyle w:val="a3"/>
      </w:pPr>
      <w:r>
        <w:t>i - номер программного мероприятия муниципальной программы.</w:t>
      </w:r>
    </w:p>
    <w:p w:rsidR="00EE5277" w:rsidRDefault="00EE5277" w:rsidP="00EE5277">
      <w:pPr>
        <w:pStyle w:val="a3"/>
      </w:pPr>
      <w: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677372" w:rsidRDefault="00677372" w:rsidP="00EE5277">
      <w:pPr>
        <w:pStyle w:val="a3"/>
      </w:pPr>
      <w:r w:rsidRPr="00C33BA0">
        <w:rPr>
          <w:rFonts w:ascii="Sylfaen" w:hAnsi="Sylfaen" w:cs="Times New Roman"/>
          <w:noProof/>
          <w:sz w:val="16"/>
          <w:szCs w:val="28"/>
          <w:lang w:eastAsia="ru-RU"/>
        </w:rPr>
        <w:drawing>
          <wp:inline distT="0" distB="0" distL="0" distR="0" wp14:anchorId="3D25A40A" wp14:editId="6812D771">
            <wp:extent cx="903605" cy="563245"/>
            <wp:effectExtent l="0" t="0" r="0" b="8255"/>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563245"/>
                    </a:xfrm>
                    <a:prstGeom prst="rect">
                      <a:avLst/>
                    </a:prstGeom>
                    <a:noFill/>
                    <a:ln>
                      <a:noFill/>
                    </a:ln>
                  </pic:spPr>
                </pic:pic>
              </a:graphicData>
            </a:graphic>
          </wp:inline>
        </w:drawing>
      </w:r>
    </w:p>
    <w:p w:rsidR="00EE5277" w:rsidRDefault="00EE5277" w:rsidP="00EE5277">
      <w:pPr>
        <w:pStyle w:val="a3"/>
      </w:pPr>
      <w:r>
        <w:t>, где:</w:t>
      </w:r>
    </w:p>
    <w:p w:rsidR="00EE5277" w:rsidRDefault="00EE5277" w:rsidP="00EE5277">
      <w:pPr>
        <w:pStyle w:val="a3"/>
      </w:pPr>
      <w:r>
        <w:t>n - количество программных мероприятий муниципальной программы.</w:t>
      </w:r>
    </w:p>
    <w:p w:rsidR="00EE5277" w:rsidRDefault="00EE5277" w:rsidP="00EE5277">
      <w:pPr>
        <w:pStyle w:val="a3"/>
      </w:pPr>
      <w:r>
        <w:t>2. 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p w:rsidR="00677372" w:rsidRDefault="00677372" w:rsidP="00EE5277">
      <w:pPr>
        <w:pStyle w:val="a3"/>
      </w:pPr>
      <w:r w:rsidRPr="00C33BA0">
        <w:rPr>
          <w:rFonts w:ascii="Sylfaen" w:hAnsi="Sylfaen" w:cs="Times New Roman"/>
          <w:noProof/>
          <w:sz w:val="16"/>
          <w:szCs w:val="28"/>
          <w:lang w:eastAsia="ru-RU"/>
        </w:rPr>
        <w:drawing>
          <wp:inline distT="0" distB="0" distL="0" distR="0" wp14:anchorId="36DCCCF2" wp14:editId="4FAF20F4">
            <wp:extent cx="977900" cy="488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p>
    <w:p w:rsidR="00EE5277" w:rsidRDefault="00EE5277" w:rsidP="00EE5277">
      <w:pPr>
        <w:pStyle w:val="a3"/>
      </w:pPr>
      <w:r>
        <w:t>, где:</w:t>
      </w:r>
    </w:p>
    <w:p w:rsidR="00EE5277" w:rsidRDefault="00EE5277" w:rsidP="00EE5277">
      <w:pPr>
        <w:pStyle w:val="a3"/>
      </w:pPr>
      <w:proofErr w:type="spellStart"/>
      <w:r>
        <w:t>И</w:t>
      </w:r>
      <w:proofErr w:type="gramStart"/>
      <w:r>
        <w:rPr>
          <w:vertAlign w:val="subscript"/>
        </w:rPr>
        <w:t>i</w:t>
      </w:r>
      <w:proofErr w:type="spellEnd"/>
      <w:proofErr w:type="gramEnd"/>
      <w:r>
        <w:t xml:space="preserve"> - уровень достижения i-</w:t>
      </w:r>
      <w:proofErr w:type="spellStart"/>
      <w:r>
        <w:t>гo</w:t>
      </w:r>
      <w:proofErr w:type="spellEnd"/>
      <w:r>
        <w:t xml:space="preserve"> показателя (индикатора) муниципальной программы в процентах;</w:t>
      </w:r>
    </w:p>
    <w:p w:rsidR="00EE5277" w:rsidRDefault="00EE5277" w:rsidP="00EE5277">
      <w:pPr>
        <w:pStyle w:val="a3"/>
      </w:pPr>
      <w:proofErr w:type="spellStart"/>
      <w:r>
        <w:t>И</w:t>
      </w:r>
      <w:r>
        <w:rPr>
          <w:vertAlign w:val="subscript"/>
        </w:rPr>
        <w:t>Ф</w:t>
      </w:r>
      <w:proofErr w:type="gramStart"/>
      <w:r>
        <w:rPr>
          <w:vertAlign w:val="subscript"/>
        </w:rPr>
        <w:t>i</w:t>
      </w:r>
      <w:proofErr w:type="spellEnd"/>
      <w:proofErr w:type="gramEnd"/>
      <w:r>
        <w:t xml:space="preserve"> - фактическое значение i-</w:t>
      </w:r>
      <w:proofErr w:type="spellStart"/>
      <w:r>
        <w:t>гo</w:t>
      </w:r>
      <w:proofErr w:type="spellEnd"/>
      <w:r>
        <w:t xml:space="preserve"> показателя (индикатора), достигнутое в ходе реализации муниципальной программы в отчетном периоде;</w:t>
      </w:r>
    </w:p>
    <w:p w:rsidR="00EE5277" w:rsidRDefault="00EE5277" w:rsidP="00EE5277">
      <w:pPr>
        <w:pStyle w:val="a3"/>
      </w:pPr>
      <w:proofErr w:type="spellStart"/>
      <w:proofErr w:type="gramStart"/>
      <w:r>
        <w:t>И</w:t>
      </w:r>
      <w:proofErr w:type="gramEnd"/>
      <w:r>
        <w:rPr>
          <w:vertAlign w:val="subscript"/>
        </w:rPr>
        <w:t>ni</w:t>
      </w:r>
      <w:proofErr w:type="spellEnd"/>
      <w:r>
        <w:rPr>
          <w:vertAlign w:val="subscript"/>
        </w:rPr>
        <w:t xml:space="preserve"> </w:t>
      </w:r>
      <w:r>
        <w:t>- плановое значение i-</w:t>
      </w:r>
      <w:proofErr w:type="spellStart"/>
      <w:r>
        <w:t>гo</w:t>
      </w:r>
      <w:proofErr w:type="spellEnd"/>
      <w:r>
        <w:t xml:space="preserve"> показателя (индикатора), утвержденное в муниципальной программе на отчетный период;</w:t>
      </w:r>
    </w:p>
    <w:p w:rsidR="00EE5277" w:rsidRDefault="00EE5277" w:rsidP="00EE5277">
      <w:pPr>
        <w:pStyle w:val="a3"/>
      </w:pPr>
      <w:r>
        <w:t>i - номер показателя (индикатора) муниципальной программы.</w:t>
      </w:r>
    </w:p>
    <w:p w:rsidR="00EE5277" w:rsidRDefault="00EE5277" w:rsidP="00EE5277">
      <w:pPr>
        <w:pStyle w:val="a3"/>
      </w:pPr>
      <w:r>
        <w:t>Эффективность реализации муниципальной программы в целом по уровню достижения значений показателей (индикаторов) определяется по формуле:</w:t>
      </w:r>
    </w:p>
    <w:p w:rsidR="00677372" w:rsidRDefault="00677372" w:rsidP="00EE5277">
      <w:pPr>
        <w:pStyle w:val="a3"/>
      </w:pPr>
      <w:r w:rsidRPr="00C33BA0">
        <w:rPr>
          <w:rFonts w:ascii="Sylfaen" w:hAnsi="Sylfaen" w:cs="Times New Roman"/>
          <w:noProof/>
          <w:sz w:val="16"/>
          <w:szCs w:val="28"/>
          <w:lang w:eastAsia="ru-RU"/>
        </w:rPr>
        <w:drawing>
          <wp:inline distT="0" distB="0" distL="0" distR="0" wp14:anchorId="325DE3B1" wp14:editId="56F4CFCC">
            <wp:extent cx="893445" cy="563245"/>
            <wp:effectExtent l="0" t="0" r="190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563245"/>
                    </a:xfrm>
                    <a:prstGeom prst="rect">
                      <a:avLst/>
                    </a:prstGeom>
                    <a:noFill/>
                    <a:ln>
                      <a:noFill/>
                    </a:ln>
                  </pic:spPr>
                </pic:pic>
              </a:graphicData>
            </a:graphic>
          </wp:inline>
        </w:drawing>
      </w:r>
    </w:p>
    <w:p w:rsidR="00EE5277" w:rsidRDefault="00EE5277" w:rsidP="00EE5277">
      <w:pPr>
        <w:pStyle w:val="a3"/>
      </w:pPr>
      <w:r>
        <w:t>, где:</w:t>
      </w:r>
    </w:p>
    <w:p w:rsidR="00EE5277" w:rsidRDefault="00EE5277" w:rsidP="00EE5277">
      <w:pPr>
        <w:pStyle w:val="a3"/>
      </w:pPr>
      <w:r>
        <w:t>n - количество показателей (индикаторов) муниципальной программы.</w:t>
      </w:r>
    </w:p>
    <w:p w:rsidR="00EE5277" w:rsidRDefault="00EE5277" w:rsidP="00EE5277">
      <w:pPr>
        <w:pStyle w:val="a3"/>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EE5277" w:rsidRDefault="00EE5277" w:rsidP="00EE5277">
      <w:pPr>
        <w:pStyle w:val="a3"/>
      </w:pPr>
      <w:r>
        <w:lastRenderedPageBreak/>
        <w:t>3. Общая эффективность реализации муниципальной программы в целом рассчитывается по формуле:</w:t>
      </w:r>
    </w:p>
    <w:p w:rsidR="00EE5277" w:rsidRDefault="00677372" w:rsidP="00EE5277">
      <w:pPr>
        <w:pStyle w:val="a3"/>
      </w:pPr>
      <w:r>
        <w:rPr>
          <w:rFonts w:ascii="Sylfaen" w:hAnsi="Sylfaen" w:cs="Times New Roman"/>
          <w:noProof/>
          <w:sz w:val="16"/>
          <w:szCs w:val="28"/>
          <w:lang w:eastAsia="ru-RU"/>
        </w:rPr>
        <mc:AlternateContent>
          <mc:Choice Requires="wpc">
            <w:drawing>
              <wp:inline distT="0" distB="0" distL="0" distR="0">
                <wp:extent cx="1019175" cy="594995"/>
                <wp:effectExtent l="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6"/>
                        <wps:cNvSpPr>
                          <a:spLocks noChangeArrowheads="1"/>
                        </wps:cNvSpPr>
                        <wps:spPr bwMode="auto">
                          <a:xfrm>
                            <a:off x="0" y="0"/>
                            <a:ext cx="10191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9050" y="17145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9" name="Rectangle 8"/>
                        <wps:cNvSpPr>
                          <a:spLocks noChangeArrowheads="1"/>
                        </wps:cNvSpPr>
                        <wps:spPr bwMode="auto">
                          <a:xfrm>
                            <a:off x="123825" y="247650"/>
                            <a:ext cx="124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proofErr w:type="spellStart"/>
                              <w:r>
                                <w:rPr>
                                  <w:rFonts w:ascii="Times New Roman" w:hAnsi="Times New Roman"/>
                                  <w:color w:val="000000"/>
                                  <w:sz w:val="16"/>
                                  <w:szCs w:val="16"/>
                                  <w:lang w:val="en-US"/>
                                </w:rPr>
                                <w:t>Пр</w:t>
                              </w:r>
                              <w:proofErr w:type="spellEnd"/>
                            </w:p>
                          </w:txbxContent>
                        </wps:txbx>
                        <wps:bodyPr rot="0" vert="horz" wrap="none" lIns="0" tIns="0" rIns="0" bIns="0" anchor="t" anchorCtr="0" upright="1">
                          <a:spAutoFit/>
                        </wps:bodyPr>
                      </wps:wsp>
                      <wps:wsp>
                        <wps:cNvPr id="11" name="Rectangle 9"/>
                        <wps:cNvSpPr>
                          <a:spLocks noChangeArrowheads="1"/>
                        </wps:cNvSpPr>
                        <wps:spPr bwMode="auto">
                          <a:xfrm>
                            <a:off x="276225"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2" name="Rectangle 10"/>
                        <wps:cNvSpPr>
                          <a:spLocks noChangeArrowheads="1"/>
                        </wps:cNvSpPr>
                        <wps:spPr bwMode="auto">
                          <a:xfrm>
                            <a:off x="4191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3" name="Rectangle 11"/>
                        <wps:cNvSpPr>
                          <a:spLocks noChangeArrowheads="1"/>
                        </wps:cNvSpPr>
                        <wps:spPr bwMode="auto">
                          <a:xfrm>
                            <a:off x="523875" y="114300"/>
                            <a:ext cx="806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Pr="003D4BB6" w:rsidRDefault="00677372" w:rsidP="00677372">
                              <w:r>
                                <w:rPr>
                                  <w:rFonts w:ascii="Times New Roman" w:hAnsi="Times New Roman"/>
                                  <w:color w:val="000000"/>
                                  <w:sz w:val="16"/>
                                  <w:szCs w:val="16"/>
                                </w:rPr>
                                <w:t>Ф</w:t>
                              </w:r>
                            </w:p>
                          </w:txbxContent>
                        </wps:txbx>
                        <wps:bodyPr rot="0" vert="horz" wrap="none" lIns="0" tIns="0" rIns="0" bIns="0" anchor="t" anchorCtr="0" upright="1">
                          <a:spAutoFit/>
                        </wps:bodyPr>
                      </wps:wsp>
                      <wps:wsp>
                        <wps:cNvPr id="14" name="Rectangle 12"/>
                        <wps:cNvSpPr>
                          <a:spLocks noChangeArrowheads="1"/>
                        </wps:cNvSpPr>
                        <wps:spPr bwMode="auto">
                          <a:xfrm>
                            <a:off x="619125" y="381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5" name="Rectangle 13"/>
                        <wps:cNvSpPr>
                          <a:spLocks noChangeArrowheads="1"/>
                        </wps:cNvSpPr>
                        <wps:spPr bwMode="auto">
                          <a:xfrm>
                            <a:off x="7239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6" name="Rectangle 14"/>
                        <wps:cNvSpPr>
                          <a:spLocks noChangeArrowheads="1"/>
                        </wps:cNvSpPr>
                        <wps:spPr bwMode="auto">
                          <a:xfrm>
                            <a:off x="828675" y="11430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Pr="003D4BB6" w:rsidRDefault="00677372" w:rsidP="00677372">
                              <w:r>
                                <w:rPr>
                                  <w:rFonts w:ascii="Times New Roman" w:hAnsi="Times New Roman"/>
                                  <w:color w:val="000000"/>
                                  <w:sz w:val="16"/>
                                  <w:szCs w:val="16"/>
                                </w:rPr>
                                <w:t>И</w:t>
                              </w:r>
                            </w:p>
                          </w:txbxContent>
                        </wps:txbx>
                        <wps:bodyPr rot="0" vert="horz" wrap="none" lIns="0" tIns="0" rIns="0" bIns="0" anchor="t" anchorCtr="0" upright="1">
                          <a:spAutoFit/>
                        </wps:bodyPr>
                      </wps:wsp>
                      <wps:wsp>
                        <wps:cNvPr id="17" name="Rectangle 15"/>
                        <wps:cNvSpPr>
                          <a:spLocks noChangeArrowheads="1"/>
                        </wps:cNvSpPr>
                        <wps:spPr bwMode="auto">
                          <a:xfrm>
                            <a:off x="619125" y="266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372" w:rsidRDefault="00677372" w:rsidP="00677372">
                              <w:r>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8" name="Rectangle 16"/>
                        <wps:cNvSpPr>
                          <a:spLocks noChangeArrowheads="1"/>
                        </wps:cNvSpPr>
                        <wps:spPr bwMode="auto">
                          <a:xfrm>
                            <a:off x="409575" y="257175"/>
                            <a:ext cx="504825"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9" o:spid="_x0000_s1026" editas="canvas" style="width:80.25pt;height:46.85pt;mso-position-horizontal-relative:char;mso-position-vertical-relative:line" coordsize="1019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91;height:5949;visibility:visible;mso-wrap-style:square">
                  <v:fill o:detectmouseclick="t"/>
                  <v:path o:connecttype="none"/>
                </v:shape>
                <v:rect id="Rectangle 6" o:spid="_x0000_s1028" style="position:absolute;width:1019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29" style="position:absolute;left:190;top:1714;width:101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77372" w:rsidRDefault="00677372" w:rsidP="00677372">
                        <w:r>
                          <w:rPr>
                            <w:rFonts w:ascii="Times New Roman" w:hAnsi="Times New Roman"/>
                            <w:color w:val="000000"/>
                            <w:sz w:val="24"/>
                            <w:szCs w:val="24"/>
                            <w:lang w:val="en-US"/>
                          </w:rPr>
                          <w:t>Э</w:t>
                        </w:r>
                      </w:p>
                    </w:txbxContent>
                  </v:textbox>
                </v:rect>
                <v:rect id="Rectangle 8" o:spid="_x0000_s1030" style="position:absolute;left:1238;top:2476;width:12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77372" w:rsidRDefault="00677372" w:rsidP="00677372">
                        <w:proofErr w:type="spellStart"/>
                        <w:r>
                          <w:rPr>
                            <w:rFonts w:ascii="Times New Roman" w:hAnsi="Times New Roman"/>
                            <w:color w:val="000000"/>
                            <w:sz w:val="16"/>
                            <w:szCs w:val="16"/>
                            <w:lang w:val="en-US"/>
                          </w:rPr>
                          <w:t>Пр</w:t>
                        </w:r>
                        <w:proofErr w:type="spellEnd"/>
                      </w:p>
                    </w:txbxContent>
                  </v:textbox>
                </v:rect>
                <v:rect id="Rectangle 9" o:spid="_x0000_s1031" style="position:absolute;left:2762;top:1714;width:86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77372" w:rsidRDefault="00677372" w:rsidP="00677372">
                        <w:r>
                          <w:rPr>
                            <w:rFonts w:ascii="Times New Roman" w:hAnsi="Times New Roman"/>
                            <w:color w:val="000000"/>
                            <w:sz w:val="24"/>
                            <w:szCs w:val="24"/>
                            <w:lang w:val="en-US"/>
                          </w:rPr>
                          <w:t>=</w:t>
                        </w:r>
                      </w:p>
                    </w:txbxContent>
                  </v:textbox>
                </v:rect>
                <v:rect id="Rectangle 10" o:spid="_x0000_s1032" style="position:absolute;left:4191;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77372" w:rsidRDefault="00677372" w:rsidP="00677372">
                        <w:r>
                          <w:rPr>
                            <w:rFonts w:ascii="Times New Roman" w:hAnsi="Times New Roman"/>
                            <w:color w:val="000000"/>
                            <w:sz w:val="24"/>
                            <w:szCs w:val="24"/>
                            <w:lang w:val="en-US"/>
                          </w:rPr>
                          <w:t>Э</w:t>
                        </w:r>
                      </w:p>
                    </w:txbxContent>
                  </v:textbox>
                </v:rect>
                <v:rect id="Rectangle 11" o:spid="_x0000_s1033" style="position:absolute;left:5238;top:1143;width:8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77372" w:rsidRPr="003D4BB6" w:rsidRDefault="00677372" w:rsidP="00677372">
                        <w:r>
                          <w:rPr>
                            <w:rFonts w:ascii="Times New Roman" w:hAnsi="Times New Roman"/>
                            <w:color w:val="000000"/>
                            <w:sz w:val="16"/>
                            <w:szCs w:val="16"/>
                          </w:rPr>
                          <w:t>Ф</w:t>
                        </w:r>
                      </w:p>
                    </w:txbxContent>
                  </v:textbox>
                </v:rect>
                <v:rect id="Rectangle 12" o:spid="_x0000_s1034" style="position:absolute;left:6191;top:381;width:86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77372" w:rsidRDefault="00677372" w:rsidP="00677372">
                        <w:r>
                          <w:rPr>
                            <w:rFonts w:ascii="Times New Roman" w:hAnsi="Times New Roman"/>
                            <w:color w:val="000000"/>
                            <w:sz w:val="24"/>
                            <w:szCs w:val="24"/>
                            <w:lang w:val="en-US"/>
                          </w:rPr>
                          <w:t>+</w:t>
                        </w:r>
                      </w:p>
                    </w:txbxContent>
                  </v:textbox>
                </v:rect>
                <v:rect id="Rectangle 13" o:spid="_x0000_s1035" style="position:absolute;left:7239;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77372" w:rsidRDefault="00677372" w:rsidP="00677372">
                        <w:r>
                          <w:rPr>
                            <w:rFonts w:ascii="Times New Roman" w:hAnsi="Times New Roman"/>
                            <w:color w:val="000000"/>
                            <w:sz w:val="24"/>
                            <w:szCs w:val="24"/>
                            <w:lang w:val="en-US"/>
                          </w:rPr>
                          <w:t>Э</w:t>
                        </w:r>
                      </w:p>
                    </w:txbxContent>
                  </v:textbox>
                </v:rect>
                <v:rect id="Rectangle 14" o:spid="_x0000_s1036" style="position:absolute;left:8286;top:1143;width:73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77372" w:rsidRPr="003D4BB6" w:rsidRDefault="00677372" w:rsidP="00677372">
                        <w:r>
                          <w:rPr>
                            <w:rFonts w:ascii="Times New Roman" w:hAnsi="Times New Roman"/>
                            <w:color w:val="000000"/>
                            <w:sz w:val="16"/>
                            <w:szCs w:val="16"/>
                          </w:rPr>
                          <w:t>И</w:t>
                        </w:r>
                      </w:p>
                    </w:txbxContent>
                  </v:textbox>
                </v:rect>
                <v:rect id="Rectangle 15" o:spid="_x0000_s1037" style="position:absolute;left:6191;top:2667;width:76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77372" w:rsidRDefault="00677372" w:rsidP="00677372">
                        <w:r>
                          <w:rPr>
                            <w:rFonts w:ascii="Times New Roman" w:hAnsi="Times New Roman"/>
                            <w:color w:val="000000"/>
                            <w:sz w:val="24"/>
                            <w:szCs w:val="24"/>
                            <w:lang w:val="en-US"/>
                          </w:rPr>
                          <w:t>2</w:t>
                        </w:r>
                      </w:p>
                    </w:txbxContent>
                  </v:textbox>
                </v:rect>
                <v:rect id="Rectangle 16" o:spid="_x0000_s1038" style="position:absolute;left:4095;top:2571;width:504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kUr8A&#10;AADbAAAADwAAAGRycy9kb3ducmV2LnhtbESPTWvDMAyG74X9B6PCbq2THsbI4pZQKMt1adlZxMoH&#10;jeUsdtP030+HQm8Sej8e5YfFDWqmKfSeDaTbBBRx7W3PrYHL+bT5BBUissXBMxl4UIDD/m2VY2b9&#10;nX9ormKrJIRDhga6GMdM61B35DBs/Ugst8ZPDqOsU6vthHcJd4PeJcmHdtizNHQ40rGj+lrdnAFX&#10;XIe0+E6b5fekk/n2J01jacz7eim+QEVa4kv8dJdW8AVWfpEB9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RSvwAAANsAAAAPAAAAAAAAAAAAAAAAAJgCAABkcnMvZG93bnJl&#10;di54bWxQSwUGAAAAAAQABAD1AAAAhAMAAAAA&#10;" fillcolor="black" strokeweight="42e-5mm"/>
                <w10:anchorlock/>
              </v:group>
            </w:pict>
          </mc:Fallback>
        </mc:AlternateContent>
      </w:r>
    </w:p>
    <w:p w:rsidR="00EE5277" w:rsidRDefault="00EE5277" w:rsidP="00EE5277">
      <w:pPr>
        <w:pStyle w:val="a3"/>
      </w:pPr>
      <w:r>
        <w:t>По результатам оценки эффективности реализации муниципальной программы могут быть сделаны следующие выводы:</w:t>
      </w:r>
    </w:p>
    <w:p w:rsidR="00EE5277" w:rsidRDefault="00EE5277" w:rsidP="00EE5277">
      <w:pPr>
        <w:pStyle w:val="a3"/>
      </w:pPr>
      <w:r>
        <w:t xml:space="preserve">1) муниципальная программа реализуется эффективно, если значение показателя </w:t>
      </w:r>
      <w:proofErr w:type="spellStart"/>
      <w:r>
        <w:t>Э</w:t>
      </w:r>
      <w:r>
        <w:rPr>
          <w:vertAlign w:val="subscript"/>
        </w:rPr>
        <w:t>Пр</w:t>
      </w:r>
      <w:proofErr w:type="spellEnd"/>
      <w:r>
        <w:t xml:space="preserve"> составляет 90% и более;</w:t>
      </w:r>
    </w:p>
    <w:p w:rsidR="00EE5277" w:rsidRDefault="00EE5277" w:rsidP="00EE5277">
      <w:pPr>
        <w:pStyle w:val="a3"/>
      </w:pPr>
      <w:r>
        <w:t xml:space="preserve">2) муниципальная программа реализуется неэффективно, если значение показателя </w:t>
      </w:r>
      <w:proofErr w:type="spellStart"/>
      <w:r>
        <w:t>Э</w:t>
      </w:r>
      <w:r>
        <w:rPr>
          <w:vertAlign w:val="subscript"/>
        </w:rPr>
        <w:t>Пр</w:t>
      </w:r>
      <w:proofErr w:type="spellEnd"/>
      <w:r>
        <w:t xml:space="preserve"> составляет от 80% до 90%.</w:t>
      </w:r>
    </w:p>
    <w:p w:rsidR="00EE5277" w:rsidRDefault="00EE5277" w:rsidP="00EE5277">
      <w:pPr>
        <w:pStyle w:val="a3"/>
      </w:pPr>
      <w:r>
        <w:t xml:space="preserve">3) муниципальная программа реализуется неэффективно, если значение показателя </w:t>
      </w:r>
      <w:proofErr w:type="spellStart"/>
      <w:r>
        <w:t>Э</w:t>
      </w:r>
      <w:r>
        <w:rPr>
          <w:vertAlign w:val="subscript"/>
        </w:rPr>
        <w:t>Пр</w:t>
      </w:r>
      <w:proofErr w:type="spellEnd"/>
      <w:r>
        <w:t xml:space="preserve"> составляет менее 80%.</w:t>
      </w:r>
    </w:p>
    <w:p w:rsidR="00EE5277" w:rsidRDefault="00EE5277" w:rsidP="00EE5277">
      <w:pPr>
        <w:pStyle w:val="a3"/>
      </w:pPr>
      <w:r>
        <w:t>Главный социально-экономический эффект от реализации муниципальной программы выражается в сохранении благоприятного состояния окружающей среды муниципального образования «Город Астрахань», и соответственно, в повышении качества жизни населения.</w:t>
      </w:r>
    </w:p>
    <w:p w:rsidR="00EE5277" w:rsidRPr="0088582D" w:rsidRDefault="00EE5277" w:rsidP="00EE5277">
      <w:pPr>
        <w:pStyle w:val="a3"/>
      </w:pPr>
      <w:r>
        <w:t xml:space="preserve">Экономический эффект муниципальной программы будет связан с оптимизацией расходования бюджетных средств, сосредоточением ресурсов на решении приоритетных задач в сфере охраны окружающей среды муниципального образования «Город </w:t>
      </w:r>
      <w:r w:rsidRPr="0088582D">
        <w:t>Астрахань».</w:t>
      </w:r>
    </w:p>
    <w:p w:rsidR="00EE5277" w:rsidRPr="0088582D" w:rsidRDefault="00EE5277" w:rsidP="00EE5277">
      <w:pPr>
        <w:pStyle w:val="a3"/>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88582D" w:rsidRDefault="0088582D" w:rsidP="00EE5277">
      <w:pPr>
        <w:pStyle w:val="a3"/>
        <w:ind w:left="5669" w:firstLine="0"/>
      </w:pPr>
    </w:p>
    <w:p w:rsidR="00EE5277" w:rsidRPr="0088582D" w:rsidRDefault="00EE5277" w:rsidP="00EE5277">
      <w:pPr>
        <w:pStyle w:val="a3"/>
        <w:ind w:left="5669" w:firstLine="0"/>
      </w:pPr>
      <w:r w:rsidRPr="0088582D">
        <w:lastRenderedPageBreak/>
        <w:t xml:space="preserve">Приложение 1 к муниципальной программе муниципального образования «Город Астрахань» </w:t>
      </w:r>
    </w:p>
    <w:p w:rsidR="00EE5277" w:rsidRDefault="00EE5277" w:rsidP="00EE5277">
      <w:pPr>
        <w:pStyle w:val="a3"/>
        <w:ind w:left="5669" w:firstLine="0"/>
      </w:pPr>
      <w:r w:rsidRPr="0088582D">
        <w:t>«Охрана окружающей среды»</w:t>
      </w:r>
    </w:p>
    <w:p w:rsidR="0088582D" w:rsidRPr="0088582D" w:rsidRDefault="0088582D" w:rsidP="0088582D">
      <w:pPr>
        <w:pStyle w:val="3"/>
        <w:rPr>
          <w:b w:val="0"/>
        </w:rPr>
      </w:pPr>
      <w:r w:rsidRPr="0088582D">
        <w:t>Перечень программных мероприятий, показателей (индикаторов) и результатов муниципальной программы муниципального образования «Город Астрахань» «Охрана окружающей среды»</w:t>
      </w:r>
    </w:p>
    <w:p w:rsidR="0088582D" w:rsidRPr="0088582D" w:rsidRDefault="0088582D" w:rsidP="00EE5277">
      <w:pPr>
        <w:pStyle w:val="a3"/>
        <w:ind w:left="5669" w:firstLine="0"/>
      </w:pPr>
    </w:p>
    <w:p w:rsidR="0088582D" w:rsidRPr="0088582D" w:rsidRDefault="0088582D" w:rsidP="00EE5277">
      <w:pPr>
        <w:pStyle w:val="3"/>
      </w:pPr>
      <w:r>
        <w:rPr>
          <w:noProof/>
          <w:lang w:eastAsia="ru-RU"/>
        </w:rPr>
        <w:drawing>
          <wp:inline distT="0" distB="0" distL="0" distR="0">
            <wp:extent cx="5531238" cy="789064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479" cy="7890985"/>
                    </a:xfrm>
                    <a:prstGeom prst="rect">
                      <a:avLst/>
                    </a:prstGeom>
                    <a:noFill/>
                    <a:ln>
                      <a:noFill/>
                    </a:ln>
                  </pic:spPr>
                </pic:pic>
              </a:graphicData>
            </a:graphic>
          </wp:inline>
        </w:drawing>
      </w:r>
    </w:p>
    <w:p w:rsidR="0088582D" w:rsidRPr="0088582D" w:rsidRDefault="0088582D" w:rsidP="00EE5277">
      <w:pPr>
        <w:pStyle w:val="3"/>
      </w:pPr>
      <w:r>
        <w:rPr>
          <w:noProof/>
          <w:lang w:eastAsia="ru-RU"/>
        </w:rPr>
        <w:lastRenderedPageBreak/>
        <w:drawing>
          <wp:inline distT="0" distB="0" distL="0" distR="0">
            <wp:extent cx="5511125" cy="732308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021" cy="7322945"/>
                    </a:xfrm>
                    <a:prstGeom prst="rect">
                      <a:avLst/>
                    </a:prstGeom>
                    <a:noFill/>
                    <a:ln>
                      <a:noFill/>
                    </a:ln>
                  </pic:spPr>
                </pic:pic>
              </a:graphicData>
            </a:graphic>
          </wp:inline>
        </w:drawing>
      </w:r>
    </w:p>
    <w:p w:rsidR="0088582D" w:rsidRDefault="0088582D" w:rsidP="00EE5277">
      <w:pPr>
        <w:pStyle w:val="3"/>
      </w:pPr>
    </w:p>
    <w:p w:rsidR="0088582D" w:rsidRDefault="0088582D" w:rsidP="00EE5277">
      <w:pPr>
        <w:pStyle w:val="3"/>
      </w:pPr>
      <w:r>
        <w:rPr>
          <w:noProof/>
          <w:lang w:eastAsia="ru-RU"/>
        </w:rPr>
        <w:lastRenderedPageBreak/>
        <w:drawing>
          <wp:inline distT="0" distB="0" distL="0" distR="0">
            <wp:extent cx="5139559" cy="7013618"/>
            <wp:effectExtent l="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796" cy="7013941"/>
                    </a:xfrm>
                    <a:prstGeom prst="rect">
                      <a:avLst/>
                    </a:prstGeom>
                    <a:noFill/>
                    <a:ln>
                      <a:noFill/>
                    </a:ln>
                  </pic:spPr>
                </pic:pic>
              </a:graphicData>
            </a:graphic>
          </wp:inline>
        </w:drawing>
      </w:r>
    </w:p>
    <w:p w:rsidR="0088582D" w:rsidRDefault="0088582D" w:rsidP="00EE5277">
      <w:pPr>
        <w:pStyle w:val="3"/>
      </w:pPr>
      <w:r>
        <w:rPr>
          <w:noProof/>
          <w:lang w:eastAsia="ru-RU"/>
        </w:rPr>
        <w:lastRenderedPageBreak/>
        <w:drawing>
          <wp:inline distT="0" distB="0" distL="0" distR="0">
            <wp:extent cx="5461080" cy="7835462"/>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81" cy="7835463"/>
                    </a:xfrm>
                    <a:prstGeom prst="rect">
                      <a:avLst/>
                    </a:prstGeom>
                    <a:noFill/>
                    <a:ln>
                      <a:noFill/>
                    </a:ln>
                  </pic:spPr>
                </pic:pic>
              </a:graphicData>
            </a:graphic>
          </wp:inline>
        </w:drawing>
      </w:r>
    </w:p>
    <w:p w:rsidR="0088582D" w:rsidRDefault="0088582D" w:rsidP="00EE5277">
      <w:pPr>
        <w:pStyle w:val="3"/>
      </w:pPr>
      <w:r>
        <w:rPr>
          <w:noProof/>
          <w:lang w:eastAsia="ru-RU"/>
        </w:rPr>
        <w:lastRenderedPageBreak/>
        <w:drawing>
          <wp:inline distT="0" distB="0" distL="0" distR="0">
            <wp:extent cx="4428589" cy="6124903"/>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8438" cy="6124694"/>
                    </a:xfrm>
                    <a:prstGeom prst="rect">
                      <a:avLst/>
                    </a:prstGeom>
                    <a:noFill/>
                    <a:ln>
                      <a:noFill/>
                    </a:ln>
                  </pic:spPr>
                </pic:pic>
              </a:graphicData>
            </a:graphic>
          </wp:inline>
        </w:drawing>
      </w:r>
    </w:p>
    <w:p w:rsidR="00EE5277" w:rsidRDefault="00EE5277" w:rsidP="00EE5277"/>
    <w:p w:rsidR="00984FF0" w:rsidRDefault="00984FF0">
      <w:bookmarkStart w:id="0" w:name="_GoBack"/>
      <w:bookmarkEnd w:id="0"/>
    </w:p>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EB"/>
    <w:rsid w:val="005E77EB"/>
    <w:rsid w:val="00677372"/>
    <w:rsid w:val="0088582D"/>
    <w:rsid w:val="008C3ECE"/>
    <w:rsid w:val="00984FF0"/>
    <w:rsid w:val="009A7CFB"/>
    <w:rsid w:val="00BB3D48"/>
    <w:rsid w:val="00DA193B"/>
    <w:rsid w:val="00EE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EE527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EE527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EE5277"/>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customStyle="1" w:styleId="a5">
    <w:name w:val="официально"/>
    <w:basedOn w:val="a"/>
    <w:uiPriority w:val="99"/>
    <w:rsid w:val="00EE5277"/>
    <w:pPr>
      <w:autoSpaceDE w:val="0"/>
      <w:autoSpaceDN w:val="0"/>
      <w:adjustRightInd w:val="0"/>
      <w:spacing w:after="0" w:line="170" w:lineRule="atLeast"/>
      <w:ind w:firstLine="227"/>
      <w:jc w:val="both"/>
      <w:textAlignment w:val="center"/>
    </w:pPr>
    <w:rPr>
      <w:rFonts w:ascii="Arial" w:hAnsi="Arial" w:cs="Arial"/>
      <w:color w:val="000000"/>
      <w:spacing w:val="3"/>
      <w:w w:val="90"/>
      <w:sz w:val="17"/>
      <w:szCs w:val="17"/>
    </w:rPr>
  </w:style>
  <w:style w:type="paragraph" w:customStyle="1" w:styleId="30">
    <w:name w:val="официально3"/>
    <w:basedOn w:val="a"/>
    <w:uiPriority w:val="99"/>
    <w:rsid w:val="00EE5277"/>
    <w:pPr>
      <w:autoSpaceDE w:val="0"/>
      <w:autoSpaceDN w:val="0"/>
      <w:adjustRightInd w:val="0"/>
      <w:spacing w:after="0" w:line="170" w:lineRule="atLeast"/>
      <w:jc w:val="center"/>
      <w:textAlignment w:val="center"/>
    </w:pPr>
    <w:rPr>
      <w:rFonts w:ascii="Arial" w:hAnsi="Arial" w:cs="Arial"/>
      <w:b/>
      <w:bCs/>
      <w:color w:val="000000"/>
      <w:spacing w:val="3"/>
      <w:w w:val="90"/>
      <w:sz w:val="17"/>
      <w:szCs w:val="17"/>
    </w:rPr>
  </w:style>
  <w:style w:type="paragraph" w:styleId="a6">
    <w:name w:val="Balloon Text"/>
    <w:basedOn w:val="a"/>
    <w:link w:val="a7"/>
    <w:uiPriority w:val="99"/>
    <w:semiHidden/>
    <w:unhideWhenUsed/>
    <w:rsid w:val="006773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3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EE527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EE527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EE5277"/>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customStyle="1" w:styleId="a5">
    <w:name w:val="официально"/>
    <w:basedOn w:val="a"/>
    <w:uiPriority w:val="99"/>
    <w:rsid w:val="00EE5277"/>
    <w:pPr>
      <w:autoSpaceDE w:val="0"/>
      <w:autoSpaceDN w:val="0"/>
      <w:adjustRightInd w:val="0"/>
      <w:spacing w:after="0" w:line="170" w:lineRule="atLeast"/>
      <w:ind w:firstLine="227"/>
      <w:jc w:val="both"/>
      <w:textAlignment w:val="center"/>
    </w:pPr>
    <w:rPr>
      <w:rFonts w:ascii="Arial" w:hAnsi="Arial" w:cs="Arial"/>
      <w:color w:val="000000"/>
      <w:spacing w:val="3"/>
      <w:w w:val="90"/>
      <w:sz w:val="17"/>
      <w:szCs w:val="17"/>
    </w:rPr>
  </w:style>
  <w:style w:type="paragraph" w:customStyle="1" w:styleId="30">
    <w:name w:val="официально3"/>
    <w:basedOn w:val="a"/>
    <w:uiPriority w:val="99"/>
    <w:rsid w:val="00EE5277"/>
    <w:pPr>
      <w:autoSpaceDE w:val="0"/>
      <w:autoSpaceDN w:val="0"/>
      <w:adjustRightInd w:val="0"/>
      <w:spacing w:after="0" w:line="170" w:lineRule="atLeast"/>
      <w:jc w:val="center"/>
      <w:textAlignment w:val="center"/>
    </w:pPr>
    <w:rPr>
      <w:rFonts w:ascii="Arial" w:hAnsi="Arial" w:cs="Arial"/>
      <w:b/>
      <w:bCs/>
      <w:color w:val="000000"/>
      <w:spacing w:val="3"/>
      <w:w w:val="90"/>
      <w:sz w:val="17"/>
      <w:szCs w:val="17"/>
    </w:rPr>
  </w:style>
  <w:style w:type="paragraph" w:styleId="a6">
    <w:name w:val="Balloon Text"/>
    <w:basedOn w:val="a"/>
    <w:link w:val="a7"/>
    <w:uiPriority w:val="99"/>
    <w:semiHidden/>
    <w:unhideWhenUsed/>
    <w:rsid w:val="006773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3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2017-12-13T11:33:00Z</dcterms:created>
  <dcterms:modified xsi:type="dcterms:W3CDTF">2017-12-14T06:53:00Z</dcterms:modified>
</cp:coreProperties>
</file>