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E" w:rsidRPr="00E350DC" w:rsidRDefault="00A11A0E" w:rsidP="00A11A0E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E350DC">
        <w:rPr>
          <w:spacing w:val="0"/>
        </w:rPr>
        <w:t>Администрация муниципального образования «Город Астрахань»</w:t>
      </w:r>
    </w:p>
    <w:p w:rsidR="00D755C9" w:rsidRDefault="00D755C9" w:rsidP="00A11A0E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A11A0E" w:rsidRPr="00E350DC" w:rsidRDefault="00A11A0E" w:rsidP="00A11A0E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18 апреля 2019 года № 1077-р</w:t>
      </w:r>
    </w:p>
    <w:p w:rsidR="00A11A0E" w:rsidRPr="00E350DC" w:rsidRDefault="00A11A0E" w:rsidP="00A11A0E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СНТ «Мечта», земельный участок № 64 в Ленинском районе г. Астрахани»</w:t>
      </w:r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 xml:space="preserve">В связи с обращением </w:t>
      </w:r>
      <w:proofErr w:type="spellStart"/>
      <w:r w:rsidRPr="00E350DC">
        <w:rPr>
          <w:spacing w:val="0"/>
        </w:rPr>
        <w:t>Айталиевой</w:t>
      </w:r>
      <w:proofErr w:type="spellEnd"/>
      <w:r w:rsidRPr="00E350DC">
        <w:rPr>
          <w:spacing w:val="0"/>
        </w:rPr>
        <w:t xml:space="preserve"> Б.Т. от 06.02.2019 № 05-04-01-885,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E350DC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ввиду того, что конфигурация и иные характеристики земельного участка благоприятны для застройки:</w:t>
      </w:r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СНТ «Мечта» в Ленинском районе г. Астрахани в отношении расстояния от основного строения на земельном участке № 64 площадью 619 кв. м (кадастровый номер 30:12:022050:44) до границ земельного участка № 63 в СНТ «Мечта» в Ленинском районе - 1,0 м.</w:t>
      </w:r>
      <w:proofErr w:type="gramEnd"/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11A0E" w:rsidRPr="00E350DC" w:rsidRDefault="00A11A0E" w:rsidP="00D755C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Default="00A11A0E" w:rsidP="00D755C9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Sect="00D755C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E"/>
    <w:rsid w:val="00984FF0"/>
    <w:rsid w:val="00A11A0E"/>
    <w:rsid w:val="00D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11A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11A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11A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11A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2019-04-25T07:59:00Z</dcterms:created>
  <dcterms:modified xsi:type="dcterms:W3CDTF">2019-04-25T08:00:00Z</dcterms:modified>
</cp:coreProperties>
</file>