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0" w:rsidRPr="00A54F73" w:rsidRDefault="00637280" w:rsidP="00110B3A">
      <w:pPr>
        <w:pStyle w:val="2"/>
        <w:rPr>
          <w:rFonts w:eastAsia="Times New Roman"/>
          <w:lang w:eastAsia="ru-RU"/>
        </w:rPr>
      </w:pPr>
      <w:r w:rsidRPr="00A54F73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931709" wp14:editId="1AE7BBD1">
            <wp:simplePos x="0" y="0"/>
            <wp:positionH relativeFrom="column">
              <wp:posOffset>2806065</wp:posOffset>
            </wp:positionH>
            <wp:positionV relativeFrom="paragraph">
              <wp:posOffset>51435</wp:posOffset>
            </wp:positionV>
            <wp:extent cx="968375" cy="13430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ДОКЛАД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главы администрации муниципального образования «Город Астрахань»</w:t>
      </w:r>
      <w:r w:rsidR="00637280"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Полумордвинова О.А.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МО «Город Астрахань» за 201</w:t>
      </w:r>
      <w:r w:rsidR="00A7096F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6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год и их планируемых значениях </w:t>
      </w: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на 3-летний период</w:t>
      </w: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BA4E69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 w:rsidRPr="00A54F73">
        <w:rPr>
          <w:rFonts w:ascii="Bookman Old Style" w:eastAsia="Times New Roman" w:hAnsi="Bookman Old Style" w:cs="Times New Roman"/>
          <w:szCs w:val="28"/>
          <w:lang w:eastAsia="ru-RU"/>
        </w:rPr>
        <w:t>Глава администрации муниципального образования «Город Астрахань»</w:t>
      </w:r>
    </w:p>
    <w:p w:rsidR="00A1413B" w:rsidRDefault="00A1413B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BA4E69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proofErr w:type="spellStart"/>
      <w:r w:rsidRPr="00A54F73">
        <w:rPr>
          <w:rFonts w:ascii="Bookman Old Style" w:eastAsia="Times New Roman" w:hAnsi="Bookman Old Style" w:cs="Times New Roman"/>
          <w:szCs w:val="28"/>
          <w:lang w:eastAsia="ru-RU"/>
        </w:rPr>
        <w:t>О.А.Полумордвинов</w:t>
      </w:r>
      <w:proofErr w:type="spellEnd"/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 xml:space="preserve">  ________________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</w:p>
    <w:p w:rsidR="00637280" w:rsidRPr="00A54F73" w:rsidRDefault="00637280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BD250A" w:rsidP="00BA4E69">
      <w:pPr>
        <w:spacing w:line="276" w:lineRule="auto"/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Дата 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  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>_____________ 201</w:t>
      </w:r>
      <w:r w:rsidR="00A7096F">
        <w:rPr>
          <w:rFonts w:ascii="Bookman Old Style" w:eastAsia="Times New Roman" w:hAnsi="Bookman Old Style" w:cs="Times New Roman"/>
          <w:szCs w:val="28"/>
          <w:lang w:eastAsia="ru-RU"/>
        </w:rPr>
        <w:t>7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г.</w:t>
      </w:r>
    </w:p>
    <w:p w:rsidR="00637280" w:rsidRPr="00A54F73" w:rsidRDefault="00637280" w:rsidP="00637280">
      <w:pPr>
        <w:spacing w:line="276" w:lineRule="auto"/>
        <w:jc w:val="righ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jc w:val="center"/>
        <w:rPr>
          <w:rFonts w:eastAsia="Times New Roman" w:cs="Times New Roman"/>
          <w:b/>
          <w:szCs w:val="28"/>
          <w:lang w:eastAsia="x-none"/>
        </w:rPr>
      </w:pPr>
    </w:p>
    <w:p w:rsidR="00637280" w:rsidRPr="00A54F73" w:rsidRDefault="00637280" w:rsidP="00637280"/>
    <w:p w:rsidR="0077200D" w:rsidRDefault="0077200D">
      <w:pPr>
        <w:sectPr w:rsidR="0077200D" w:rsidSect="00C27E09">
          <w:footerReference w:type="default" r:id="rId1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81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2635"/>
        <w:gridCol w:w="1307"/>
        <w:gridCol w:w="1416"/>
        <w:gridCol w:w="1416"/>
        <w:gridCol w:w="1416"/>
        <w:gridCol w:w="1416"/>
        <w:gridCol w:w="1416"/>
        <w:gridCol w:w="1416"/>
        <w:gridCol w:w="1416"/>
        <w:gridCol w:w="1064"/>
      </w:tblGrid>
      <w:tr w:rsidR="00A54F73" w:rsidRPr="00A54F73" w:rsidTr="00F200DC">
        <w:trPr>
          <w:trHeight w:val="730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AE" w:rsidRPr="00A54F73" w:rsidRDefault="001170AE" w:rsidP="001170AE">
            <w:pPr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4F73">
              <w:rPr>
                <w:rFonts w:eastAsia="Times New Roman" w:cs="Times New Roman"/>
                <w:b/>
                <w:szCs w:val="28"/>
                <w:lang w:val="en-US" w:eastAsia="ru-RU"/>
              </w:rPr>
              <w:lastRenderedPageBreak/>
              <w:t>I</w:t>
            </w:r>
            <w:r w:rsidRPr="00A54F73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A54F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F7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Показатели оценки эффективности деятельности органов местного самоуправления городского округа</w:t>
            </w:r>
          </w:p>
          <w:p w:rsidR="001170AE" w:rsidRPr="00A54F73" w:rsidRDefault="001170AE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0C1A" w:rsidRPr="00813801" w:rsidTr="00F200DC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813801" w:rsidRDefault="007F4EF7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40C1A" w:rsidRPr="00813801" w:rsidTr="00F200D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2543EE" w:rsidRDefault="00A7096F" w:rsidP="00A7096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2864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7096F" w:rsidRPr="00813801" w:rsidTr="00F200DC">
        <w:trPr>
          <w:trHeight w:val="20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813801" w:rsidRDefault="00A7096F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I. Экономическое развитие</w:t>
            </w:r>
          </w:p>
        </w:tc>
      </w:tr>
      <w:tr w:rsidR="00940C1A" w:rsidRPr="00813801" w:rsidTr="00F200DC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2D0EA3" w:rsidRDefault="0077200D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436,57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449,28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425,89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426,04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bCs/>
                <w:sz w:val="16"/>
                <w:szCs w:val="16"/>
              </w:rPr>
            </w:pPr>
            <w:r w:rsidRPr="0077200D">
              <w:rPr>
                <w:bCs/>
                <w:sz w:val="16"/>
                <w:szCs w:val="16"/>
              </w:rPr>
              <w:t>426,56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813801" w:rsidRDefault="0077200D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2D0EA3" w:rsidRDefault="0077200D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23 099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23 892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22 058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22 662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22 721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22 804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77200D" w:rsidRDefault="0077200D" w:rsidP="0077200D">
            <w:pPr>
              <w:jc w:val="center"/>
              <w:rPr>
                <w:sz w:val="16"/>
                <w:szCs w:val="16"/>
              </w:rPr>
            </w:pPr>
            <w:r w:rsidRPr="0077200D">
              <w:rPr>
                <w:sz w:val="16"/>
                <w:szCs w:val="16"/>
              </w:rPr>
              <w:t>22 894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813801" w:rsidRDefault="0077200D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trHeight w:val="1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2D0EA3" w:rsidRDefault="0077200D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68661D" w:rsidRDefault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19,63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19,57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23,45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23,52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0D" w:rsidRPr="00903B7B" w:rsidRDefault="0077200D" w:rsidP="00903B7B">
            <w:pPr>
              <w:jc w:val="center"/>
              <w:rPr>
                <w:sz w:val="16"/>
                <w:szCs w:val="16"/>
              </w:rPr>
            </w:pPr>
            <w:r w:rsidRPr="00903B7B">
              <w:rPr>
                <w:sz w:val="16"/>
                <w:szCs w:val="16"/>
              </w:rPr>
              <w:t>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0D" w:rsidRPr="00813801" w:rsidRDefault="0077200D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1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малых предприятий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33 676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33 657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35 171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34 010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34 010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34 044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34 112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средних предприятий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137 881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138 345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134 279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128 256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127 743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127 743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127 871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71 019,67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64 627,26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52 479,46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55 189,58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56 264,49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57 698,00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59 325,49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 по полному кругу организаций с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досчетом</w:t>
            </w:r>
            <w:proofErr w:type="spell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параметров деятельности, не наблюдаемой прямыми статистическими методами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40 346 995 371,29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35 717 070 593,74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30 124 264 983,82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30 128 762 816,89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30 791 595 598,86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31 684 551 871,23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32 666 772 979,24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0C1A" w:rsidRPr="00813801" w:rsidTr="00F200DC">
        <w:trPr>
          <w:cantSplit/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2D0EA3" w:rsidRDefault="00CA2AE0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инвестиции в основной капитал за счет бюджетных средств (по крупным и средним организациям; организациям, не относящимся к субъектам малого предпринимательства, средняя численность которых не превышает 15 человек; малым предприятиям и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микропредприятиям</w:t>
            </w:r>
            <w:proofErr w:type="spell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68661D" w:rsidRDefault="00CA2A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2 769 640 031,26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1 349 169 438,04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2 194 221 983,51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761 726 443,24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778 484 424,99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801 060 473,31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CA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825 893 347,98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E0" w:rsidRPr="00813801" w:rsidRDefault="00CA2AE0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5 415,00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5 545,60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5621,60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5 680,00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5 747,00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5 814,00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13 285,00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13 309,60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13 309,60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13 309,60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Default="00276789" w:rsidP="00413B38">
            <w:pPr>
              <w:jc w:val="center"/>
            </w:pPr>
            <w:r w:rsidRPr="00D91988">
              <w:rPr>
                <w:rFonts w:eastAsia="Times New Roman" w:cs="Times New Roman"/>
                <w:sz w:val="16"/>
                <w:szCs w:val="16"/>
                <w:lang w:eastAsia="ru-RU"/>
              </w:rPr>
              <w:t>13 309,60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Default="00276789" w:rsidP="00413B38">
            <w:pPr>
              <w:jc w:val="center"/>
            </w:pPr>
            <w:r w:rsidRPr="00D91988">
              <w:rPr>
                <w:rFonts w:eastAsia="Times New Roman" w:cs="Times New Roman"/>
                <w:sz w:val="16"/>
                <w:szCs w:val="16"/>
                <w:lang w:eastAsia="ru-RU"/>
              </w:rPr>
              <w:t>13 309,60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2110F">
              <w:rPr>
                <w:bCs/>
                <w:color w:val="000000"/>
                <w:sz w:val="16"/>
                <w:szCs w:val="16"/>
              </w:rPr>
              <w:t>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8558E" w:rsidRDefault="00276789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8558E"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396,98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360,33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355,35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8558E" w:rsidRDefault="00276789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8558E"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379,40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8558E" w:rsidRDefault="00276789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8558E"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413B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529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A2AE0">
              <w:rPr>
                <w:bCs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13801">
              <w:rPr>
                <w:rFonts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76789" w:rsidRPr="00813801" w:rsidTr="00F200D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B492D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27 588,33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29 724,26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30 908,25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32 934,06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33 066,32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33 099,39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33 132,39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всех работников крупных и средних предприятий и некоммерческих организаций </w:t>
            </w: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(без малых и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45 646 885 200,00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49 346 438 600,00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49 767 234 400,00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50 687 896 900,00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50 687 896 900,00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50 738 584 796,90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50 840 061 966,49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среднесписочная численность работников крупных и средних предприятий и некоммерческих организаций </w:t>
            </w: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(без малых и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137 881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138 345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134 180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128 256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127 743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127 743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2357F" w:rsidRDefault="00276789" w:rsidP="00CA2AE0">
            <w:pPr>
              <w:jc w:val="center"/>
              <w:rPr>
                <w:sz w:val="16"/>
                <w:szCs w:val="16"/>
              </w:rPr>
            </w:pPr>
            <w:r w:rsidRPr="0042357F">
              <w:rPr>
                <w:sz w:val="16"/>
                <w:szCs w:val="16"/>
              </w:rPr>
              <w:t>127 871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12 630,30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14 882,00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14919,70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14 919,70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14 919,70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393AB3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cantSplit/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дошкольных 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665 970 458,40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774 656 346,00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768 089 900,00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762 774 240,00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768 424 000,00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768 424 000,00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768 424 000,00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дошкольных 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21 658,00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24 239,80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25 175,40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24 811,60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24 919,85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24 919,85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24 919,85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общеобразовательных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1 587 444 768,00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1 193 470 792,80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1 680 609 159,00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1 570 276 540,80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1 577 127 671,20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1 577 127 671,20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1 577 127 671,20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92E5F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A92E5F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общеобразовательных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6108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5563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учителей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25 966,00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27 212,08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28 143,91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27 312,16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27 407,09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27 407,09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27 407,09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12 375 980,00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10 136 400,00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9 230 600,00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14 258 200,00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16 258 200,00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16 258 200,00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16 258 200,00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798 383 348,00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797 915 100,00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921 954 100,00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893 205 200,00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893 905 200,00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893 905 200,00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893 905 200,00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9 886 300,00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6 310 900,00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8 709 200,00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12 895 400,00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13 395 400,00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13 395 400,00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13 395 400,00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393AB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10 918,40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15 034,90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18 179,40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17 913,40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21 244,2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Default="00276789" w:rsidP="00FE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23 723,40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Default="00276789" w:rsidP="00FE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24 323,80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учреждений культуры и искусства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FE270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28 300 492,8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FE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41 315 905,20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FE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45 812 088,00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jc w:val="center"/>
              <w:rPr>
                <w:sz w:val="16"/>
                <w:szCs w:val="16"/>
              </w:rPr>
            </w:pPr>
            <w:r w:rsidRPr="00FE2703">
              <w:rPr>
                <w:sz w:val="16"/>
                <w:szCs w:val="16"/>
              </w:rPr>
              <w:t>45 528 697,44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FE2703">
            <w:pPr>
              <w:jc w:val="center"/>
              <w:rPr>
                <w:sz w:val="16"/>
                <w:szCs w:val="16"/>
              </w:rPr>
            </w:pPr>
            <w:r w:rsidRPr="00FE2703">
              <w:rPr>
                <w:sz w:val="16"/>
                <w:szCs w:val="16"/>
              </w:rPr>
              <w:t>46 907 193,60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FE2703">
            <w:pPr>
              <w:jc w:val="center"/>
              <w:rPr>
                <w:sz w:val="16"/>
                <w:szCs w:val="16"/>
              </w:rPr>
            </w:pPr>
            <w:r w:rsidRPr="00FE2703">
              <w:rPr>
                <w:sz w:val="16"/>
                <w:szCs w:val="16"/>
              </w:rPr>
              <w:t>52 381 267,20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jc w:val="center"/>
              <w:rPr>
                <w:sz w:val="16"/>
                <w:szCs w:val="16"/>
              </w:rPr>
            </w:pPr>
            <w:r w:rsidRPr="00FE2703">
              <w:rPr>
                <w:sz w:val="16"/>
                <w:szCs w:val="16"/>
              </w:rPr>
              <w:t>53 706 950,4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учреждений культуры и искусства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229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210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FE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184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E2703" w:rsidRDefault="00276789" w:rsidP="00951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2703">
              <w:rPr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16 919,80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18 241,00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18 934,10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21 506,40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21 768,96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21 768,96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21 768,96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учреждений физической культуры и спорта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60 911 280,00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63 478 680,00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65 890 668,00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77 681 116,80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78 629 501,44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78 629 501,44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78 629 501,44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учреждений физической культуры и спорта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A92E5F" w:rsidRDefault="00276789">
            <w:pPr>
              <w:jc w:val="center"/>
              <w:rPr>
                <w:sz w:val="16"/>
                <w:szCs w:val="16"/>
              </w:rPr>
            </w:pPr>
            <w:r w:rsidRPr="00A92E5F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276789" w:rsidRPr="00813801" w:rsidTr="00F200D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24266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26048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26048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26368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26368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55,41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28,99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23,63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22,14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1–6 лет (на 1 января следующего за отчетным годом)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37464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44276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45280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организаций, здания которых находятся в аварийном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организаций, здания которых требуют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8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276789" w:rsidRPr="00813801" w:rsidTr="00F200DC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CA2AE0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CA2AE0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Утратил силу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7096F" w:rsidRDefault="00276789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2 158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учреждений, здания которых находятся в аварийном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первой и второй групп здоровья,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30,95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26,33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31,73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27,51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23,67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учащихся, занимающихся в муниципальных общеобразовательных учреждениях во вторую смену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учащихся, занимающихся в муниципальных общеобразовательных учреждениях в третью смену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49,19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BA5F9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BA5F9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BA5F9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BA5F9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A5F99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5F99">
              <w:rPr>
                <w:rFonts w:eastAsia="Times New Roman" w:cs="Times New Roman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A5F99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5F99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2 658 146,76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2 787 338,84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2 850 538,65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sz w:val="16"/>
                <w:szCs w:val="16"/>
              </w:rPr>
            </w:pPr>
            <w:r w:rsidRPr="00C35ED7">
              <w:rPr>
                <w:sz w:val="16"/>
                <w:szCs w:val="16"/>
              </w:rPr>
              <w:t>2 638 992,37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sz w:val="16"/>
                <w:szCs w:val="16"/>
              </w:rPr>
            </w:pPr>
            <w:r w:rsidRPr="00C35ED7">
              <w:rPr>
                <w:sz w:val="16"/>
                <w:szCs w:val="16"/>
              </w:rPr>
              <w:t>2 065 733,98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sz w:val="16"/>
                <w:szCs w:val="16"/>
              </w:rPr>
            </w:pPr>
            <w:r w:rsidRPr="00C35ED7">
              <w:rPr>
                <w:sz w:val="16"/>
                <w:szCs w:val="16"/>
              </w:rPr>
              <w:t>1 292 174,60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sz w:val="16"/>
                <w:szCs w:val="16"/>
              </w:rPr>
            </w:pPr>
            <w:r w:rsidRPr="00C35ED7">
              <w:rPr>
                <w:sz w:val="16"/>
                <w:szCs w:val="16"/>
              </w:rPr>
              <w:t>1 291 616,93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940C1A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учащихся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40C1A" w:rsidRDefault="00276789">
            <w:pPr>
              <w:jc w:val="center"/>
              <w:rPr>
                <w:sz w:val="16"/>
                <w:szCs w:val="16"/>
              </w:rPr>
            </w:pPr>
            <w:r w:rsidRPr="00940C1A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 xml:space="preserve"> </w:t>
            </w:r>
            <w:r w:rsidRPr="00940C1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51,54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81,07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81,47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EF3EED" w:rsidRDefault="00276789" w:rsidP="003F664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5 -18 лет в городском округе (муниципальном районе)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6487F" w:rsidRDefault="00276789">
            <w:pPr>
              <w:jc w:val="center"/>
              <w:rPr>
                <w:sz w:val="16"/>
                <w:szCs w:val="16"/>
              </w:rPr>
            </w:pPr>
            <w:r w:rsidRPr="0016487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 </w:t>
            </w:r>
            <w:r w:rsidRPr="0016487F">
              <w:rPr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IV. Культура</w:t>
            </w:r>
          </w:p>
        </w:tc>
      </w:tr>
      <w:tr w:rsidR="00276789" w:rsidRPr="00813801" w:rsidTr="00F200D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ind w:firstLineChars="200" w:firstLine="3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ind w:firstLineChars="200" w:firstLine="3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55,35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 w:rsidRPr="00F1390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60,33</w:t>
            </w:r>
            <w:r w:rsidRPr="00F1390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1390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59,96</w:t>
            </w:r>
            <w:r w:rsidRPr="00F1390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фактическое число посадочных мест в учреждениях культурно-досугового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зрительских мест в учреждениях культурно-досугового типа в соответствии с утвержденным нормативом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951DA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мест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C0C24" w:rsidRPr="00813801" w:rsidTr="005C0C24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2D0EA3" w:rsidRDefault="005C0C24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E67D6" w:rsidRDefault="005C0C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6E67D6" w:rsidRDefault="005C0C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Pr="002D0EA3" w:rsidRDefault="005C0C24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Pr="00951DAA" w:rsidRDefault="005C0C24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Pr="00951DAA" w:rsidRDefault="005C0C24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Pr="00951DAA" w:rsidRDefault="00AC0BC0" w:rsidP="00951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Default="00AC0BC0" w:rsidP="00AC0BC0">
            <w:pPr>
              <w:jc w:val="center"/>
            </w:pPr>
            <w:r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Default="00AC0BC0" w:rsidP="00AC0BC0">
            <w:pPr>
              <w:jc w:val="center"/>
            </w:pPr>
            <w:r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24" w:rsidRDefault="00AC0BC0" w:rsidP="00AC0BC0">
            <w:pPr>
              <w:jc w:val="center"/>
            </w:pPr>
            <w:r>
              <w:rPr>
                <w:sz w:val="16"/>
                <w:szCs w:val="16"/>
              </w:rPr>
              <w:t>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24" w:rsidRPr="00813801" w:rsidRDefault="005C0C24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5,6</w:t>
            </w:r>
            <w:r w:rsidR="005C0C2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5,6</w:t>
            </w:r>
            <w:r w:rsidR="005C0C2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5,6</w:t>
            </w:r>
            <w:r w:rsidR="005C0C2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5,6</w:t>
            </w:r>
            <w:r w:rsidR="005C0C2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парков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нормативная потребность в парках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color w:val="000000"/>
                <w:sz w:val="16"/>
                <w:szCs w:val="16"/>
              </w:rPr>
            </w:pPr>
            <w:r w:rsidRPr="00951D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2D0E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951DAA" w:rsidRDefault="00276789" w:rsidP="00951DAA">
            <w:pPr>
              <w:jc w:val="center"/>
              <w:rPr>
                <w:sz w:val="16"/>
                <w:szCs w:val="16"/>
              </w:rPr>
            </w:pPr>
            <w:r w:rsidRPr="00951D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7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276789" w:rsidRPr="00813801" w:rsidTr="00F200D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42,98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5C0C24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лиц, систематически </w:t>
            </w:r>
            <w:proofErr w:type="gramStart"/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занимающегося</w:t>
            </w:r>
            <w:proofErr w:type="gramEnd"/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9E23D4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206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276F3" w:rsidRDefault="00276789">
            <w:pPr>
              <w:jc w:val="center"/>
              <w:rPr>
                <w:sz w:val="16"/>
                <w:szCs w:val="16"/>
              </w:rPr>
            </w:pPr>
            <w:r w:rsidRPr="002276F3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</w:t>
            </w:r>
            <w:r w:rsidRPr="002276F3">
              <w:rPr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64847" w:rsidRPr="00813801" w:rsidTr="00F200DC">
        <w:trPr>
          <w:cantSplit/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47" w:rsidRPr="009E23D4" w:rsidRDefault="0046484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47" w:rsidRPr="009E23D4" w:rsidRDefault="0046484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47" w:rsidRPr="009E23D4" w:rsidRDefault="0046484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47" w:rsidRPr="002276F3" w:rsidRDefault="00464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47" w:rsidRPr="00813801" w:rsidRDefault="0046484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17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276789" w:rsidRPr="00813801" w:rsidTr="00F200D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2D0EA3" w:rsidRDefault="00276789" w:rsidP="00DB009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2D0EA3" w:rsidRDefault="00276789" w:rsidP="00DB009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813801" w:rsidRDefault="00276789" w:rsidP="00DB0095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813801" w:rsidRDefault="00276789" w:rsidP="00DB0095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813801" w:rsidRDefault="00276789" w:rsidP="00DB0095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813801" w:rsidRDefault="00276789" w:rsidP="00DB0095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813801" w:rsidRDefault="00276789" w:rsidP="00DB0095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22,76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23,34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24,15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24,66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25,17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всего жилищного фонда на конец года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12 081 000,00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12 432 400,00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12 697 000,00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12 858 400,00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13 175 843,91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13 497 722,83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13 810 480,26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постоянного населения городского округа (муниципального района) на конец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530,863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532,699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531,719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532,504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534,354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536,167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537,262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 в жилых и нежилых зданиях, введенных в действие за год организациями-застройщиками по данным формы № С-1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173 896,00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187 681,00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181 500,00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164 598,00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167 001,13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169 042,15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173 980,09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24.2.2.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 в жилых домах, построенных населением за год по данным формы №1-ИЖС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183 740,00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178 098,00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124 700,00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169 974,00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173 373,48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176 840,95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182 146,18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25.1.1.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25.1.2.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для иного строительства, </w:t>
            </w:r>
            <w:proofErr w:type="gramStart"/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жилищного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39,05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42,78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DB0095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5C0C24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26.</w:t>
            </w: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6789" w:rsidRPr="002D0EA3" w:rsidRDefault="00276789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90103D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90103D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1 330,00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163 748,00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72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A0279">
              <w:rPr>
                <w:rFonts w:eastAsia="Times New Roman" w:cs="Times New Roman"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инфрастуктуры</w:t>
            </w:r>
            <w:proofErr w:type="spell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инфрастуктуры</w:t>
            </w:r>
            <w:proofErr w:type="spell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праве частной собственности, по договору аренды 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9,91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10,74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934,00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222,00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многоквартирных домов, имеющих разрешение на ввод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416,00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439,00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      </w:r>
            <w:r w:rsidRPr="00796A84">
              <w:rPr>
                <w:rFonts w:eastAsia="Times New Roman" w:cs="Times New Roman"/>
                <w:sz w:val="16"/>
                <w:szCs w:val="16"/>
                <w:lang w:eastAsia="ru-RU"/>
              </w:rPr>
              <w:t>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413B38" w:rsidRDefault="00276789" w:rsidP="00C211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3B38">
              <w:rPr>
                <w:bCs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C2110F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2 004</w:t>
            </w:r>
            <w:r w:rsidRPr="00C2110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C2110F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2 403</w:t>
            </w:r>
            <w:r w:rsidRPr="00C2110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DB0095" w:rsidRDefault="00276789" w:rsidP="00C2110F">
            <w:pPr>
              <w:jc w:val="center"/>
              <w:rPr>
                <w:sz w:val="16"/>
                <w:szCs w:val="16"/>
              </w:rPr>
            </w:pPr>
            <w:r w:rsidRPr="00DB0095">
              <w:rPr>
                <w:sz w:val="16"/>
                <w:szCs w:val="16"/>
              </w:rPr>
              <w:t>1 422</w:t>
            </w:r>
            <w:r w:rsidRPr="00C2110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1 176,00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229,00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41 045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40 848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39 657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sz w:val="16"/>
                <w:szCs w:val="16"/>
              </w:rPr>
            </w:pPr>
            <w:r w:rsidRPr="00C2110F">
              <w:rPr>
                <w:sz w:val="16"/>
                <w:szCs w:val="16"/>
              </w:rPr>
              <w:t>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276789" w:rsidRPr="00813801" w:rsidTr="00F200DC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60,74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58,48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64,25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72,93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60,23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70,38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сумма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2 735 292 333,71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3 169 824 768,84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3 049 686 142,29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3 048 341 510,58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3 025 331 000,00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3 026 499 000,00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3 039 735 000,00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4 503 356 434,35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5 420 452 763,14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4 746 278 709,17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4 179 550 071,68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5 023 090 433,60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5 603 971 000,00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bCs/>
                <w:sz w:val="16"/>
                <w:szCs w:val="16"/>
              </w:rPr>
            </w:pPr>
            <w:r w:rsidRPr="00C35ED7">
              <w:rPr>
                <w:bCs/>
                <w:sz w:val="16"/>
                <w:szCs w:val="16"/>
              </w:rPr>
              <w:t>4 318 964 700,00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143 700,00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140 400,00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493 959,40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707 042,08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707 042,08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707 042,08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707 042,08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789" w:rsidRPr="00813801" w:rsidRDefault="00276789" w:rsidP="0070690B">
            <w:pPr>
              <w:ind w:left="113" w:right="113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6 775 578,00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6 777 418,00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sz w:val="16"/>
                <w:szCs w:val="16"/>
              </w:rPr>
            </w:pPr>
            <w:r w:rsidRPr="00CA2AE0">
              <w:rPr>
                <w:sz w:val="16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1 065 369,10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956 620,20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995 950,30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946 323,20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771 796,20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680 096,50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2110F" w:rsidRDefault="00276789" w:rsidP="00C2110F">
            <w:pPr>
              <w:jc w:val="center"/>
              <w:rPr>
                <w:color w:val="000000"/>
                <w:sz w:val="16"/>
                <w:szCs w:val="16"/>
              </w:rPr>
            </w:pPr>
            <w:r w:rsidRPr="00C2110F">
              <w:rPr>
                <w:color w:val="000000"/>
                <w:sz w:val="16"/>
                <w:szCs w:val="16"/>
              </w:rPr>
              <w:t>525 085,40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789" w:rsidRPr="00813801" w:rsidRDefault="00276789" w:rsidP="00602623">
            <w:pPr>
              <w:ind w:left="113" w:right="113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12 688,48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3 649,30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расходов муниципального образования по оплате труда (включая начисления на оплату труда)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804 306,18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4 276 225,30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4 328 186,73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4 130 941,85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4 135 891,99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3 088 912,07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3 088 672,50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470,49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889,56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886,70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B84544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248 936,48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428 685,92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469 055,72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457 433,60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476 995,14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476 144,77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35ED7" w:rsidRDefault="00276789" w:rsidP="00413B38">
            <w:pPr>
              <w:jc w:val="center"/>
              <w:rPr>
                <w:color w:val="000000"/>
                <w:sz w:val="16"/>
                <w:szCs w:val="16"/>
              </w:rPr>
            </w:pPr>
            <w:r w:rsidRPr="00C35ED7">
              <w:rPr>
                <w:color w:val="000000"/>
                <w:sz w:val="16"/>
                <w:szCs w:val="16"/>
              </w:rPr>
              <w:t>475 905,20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1-да/0-нет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707AAE" w:rsidRDefault="0041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89" w:rsidRPr="008E41A7" w:rsidRDefault="00276789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89" w:rsidRPr="008E41A7" w:rsidRDefault="00276789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5C0C24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13281B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13281B" w:rsidRDefault="00276789" w:rsidP="00E8129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13281B" w:rsidRDefault="00276789" w:rsidP="00E8129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13281B" w:rsidRDefault="00276789" w:rsidP="00E8129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37.3.4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13281B" w:rsidRDefault="00276789" w:rsidP="00E8129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37.3.5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1328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3281B" w:rsidRDefault="00276789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0572F" w:rsidRDefault="0027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E41A7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529,104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532,209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533,429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535,261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CA2AE0" w:rsidRDefault="00276789" w:rsidP="00CA2AE0">
            <w:pPr>
              <w:jc w:val="center"/>
              <w:rPr>
                <w:bCs/>
                <w:sz w:val="16"/>
                <w:szCs w:val="16"/>
              </w:rPr>
            </w:pPr>
            <w:r w:rsidRPr="00CA2AE0">
              <w:rPr>
                <w:bCs/>
                <w:sz w:val="16"/>
                <w:szCs w:val="16"/>
              </w:rPr>
              <w:t>536,715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0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8E41A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276789" w:rsidRPr="00813801" w:rsidTr="00F200DC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39.1.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663,84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715,79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39.1.1.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381 630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391 161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394 571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398 517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399 022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403 011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403 967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39.1.2.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кВт. 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253 340 720,00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281 509 175,00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284 169 431,00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285 739 602,00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285 911 233,60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288 469 996,00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 w:rsidP="000126E8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288 886 877,74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543EE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39.2.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тепловой энергии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1 152 734,43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1 156 213,56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1 175 692,69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1 184 669,34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1 196 055,84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1 201 686,72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1 210 877,12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7 140 178,52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7 326 334,00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7 349 334,00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7 404 183,35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7 475 349,00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7 510 542,00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7 567 982,00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236 800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238 115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239 430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240 365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240 868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241 518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241 957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горячей воды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5 481 830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5 476 645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5 474 078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5 470 078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5 465 295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5 460 043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5 456 349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48,20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bCs/>
                <w:sz w:val="16"/>
                <w:szCs w:val="16"/>
              </w:rPr>
            </w:pPr>
            <w:r w:rsidRPr="000126E8">
              <w:rPr>
                <w:bCs/>
                <w:sz w:val="16"/>
                <w:szCs w:val="16"/>
              </w:rPr>
              <w:t>50,69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407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409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410</w:t>
            </w:r>
            <w:r>
              <w:rPr>
                <w:sz w:val="16"/>
                <w:szCs w:val="16"/>
              </w:rPr>
              <w:t xml:space="preserve"> </w:t>
            </w:r>
            <w:r w:rsidRPr="000126E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18 580 970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20 212 187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20 696 140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20 724 586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20 750 653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20 776 653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0126E8" w:rsidRDefault="00276789">
            <w:pPr>
              <w:jc w:val="center"/>
              <w:rPr>
                <w:sz w:val="16"/>
                <w:szCs w:val="16"/>
              </w:rPr>
            </w:pPr>
            <w:r w:rsidRPr="000126E8">
              <w:rPr>
                <w:sz w:val="16"/>
                <w:szCs w:val="16"/>
              </w:rPr>
              <w:t>20 800 033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334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354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362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413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426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39.5.2.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природного газа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81886930,00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86761831,00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88728674,00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99362526,00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101117483,50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103153558,75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104449265,25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13801" w:rsidRDefault="00276789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12 674 400,00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12 381 240,00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12 380 946,84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11 999 125,60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11 638 177,04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11 331 475,37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11 018 758,95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42357F">
            <w:pPr>
              <w:tabs>
                <w:tab w:val="left" w:pos="13"/>
              </w:tabs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ind w:leftChars="-1" w:left="-2" w:hanging="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524,33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678,10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161,19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926,35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018,77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510,08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829,58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43546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40.2.2.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42357F">
            <w:pPr>
              <w:tabs>
                <w:tab w:val="left" w:pos="13"/>
              </w:tabs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муниципальных бюджетных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ind w:firstLineChars="37" w:firstLine="5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661152,00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671724,90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681826,90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689956,90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700312,90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758501,30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763826,30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42357F">
            <w:pPr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587,00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101,28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017,22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670,68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241,55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913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880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187,00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851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379,20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837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483,53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813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596,72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794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338,20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bCs/>
                <w:sz w:val="16"/>
                <w:szCs w:val="16"/>
              </w:rPr>
            </w:pPr>
            <w:r w:rsidRPr="001803C6">
              <w:rPr>
                <w:bCs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cantSplit/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E46A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40.5.1.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D229D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193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700,15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176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636,13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1803C6" w:rsidRDefault="00276789">
            <w:pPr>
              <w:jc w:val="center"/>
              <w:rPr>
                <w:sz w:val="16"/>
                <w:szCs w:val="16"/>
              </w:rPr>
            </w:pPr>
            <w:r w:rsidRPr="001803C6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 xml:space="preserve"> </w:t>
            </w:r>
            <w:r w:rsidRPr="001803C6">
              <w:rPr>
                <w:sz w:val="16"/>
                <w:szCs w:val="16"/>
              </w:rPr>
              <w:t>748,80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CA2AE0" w:rsidRDefault="00CA2AE0" w:rsidP="00602623">
      <w:pPr>
        <w:jc w:val="center"/>
        <w:rPr>
          <w:rFonts w:eastAsia="Times New Roman" w:cs="Times New Roman"/>
          <w:b/>
          <w:szCs w:val="28"/>
        </w:rPr>
        <w:sectPr w:rsidR="00CA2AE0" w:rsidSect="00514CAF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81"/>
        </w:sectPr>
      </w:pP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  <w:lang w:val="en-US"/>
        </w:rPr>
        <w:t>II</w:t>
      </w:r>
      <w:r w:rsidRPr="0042357F">
        <w:rPr>
          <w:rFonts w:eastAsia="Times New Roman" w:cs="Times New Roman"/>
          <w:b/>
          <w:szCs w:val="28"/>
        </w:rPr>
        <w:t>. Основные результаты и перспективы деятельности органов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самоуправления </w:t>
      </w:r>
      <w:proofErr w:type="spellStart"/>
      <w:r w:rsidRPr="0042357F">
        <w:rPr>
          <w:rFonts w:eastAsia="Times New Roman" w:cs="Times New Roman"/>
          <w:b/>
          <w:szCs w:val="28"/>
        </w:rPr>
        <w:t>г</w:t>
      </w:r>
      <w:proofErr w:type="gramStart"/>
      <w:r w:rsidRPr="0042357F">
        <w:rPr>
          <w:rFonts w:eastAsia="Times New Roman" w:cs="Times New Roman"/>
          <w:b/>
          <w:szCs w:val="28"/>
        </w:rPr>
        <w:t>.А</w:t>
      </w:r>
      <w:proofErr w:type="gramEnd"/>
      <w:r w:rsidRPr="0042357F">
        <w:rPr>
          <w:rFonts w:eastAsia="Times New Roman" w:cs="Times New Roman"/>
          <w:b/>
          <w:szCs w:val="28"/>
        </w:rPr>
        <w:t>страхани</w:t>
      </w:r>
      <w:proofErr w:type="spellEnd"/>
      <w:r w:rsidRPr="0042357F">
        <w:rPr>
          <w:rFonts w:eastAsia="Times New Roman" w:cs="Times New Roman"/>
          <w:b/>
          <w:szCs w:val="28"/>
        </w:rPr>
        <w:t xml:space="preserve"> по решению вопросов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значения и социально-экономического развития 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«Муниципального образования «Город Астрахань»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Астраханской области</w:t>
      </w:r>
    </w:p>
    <w:p w:rsidR="00602623" w:rsidRPr="0042357F" w:rsidRDefault="00602623" w:rsidP="00602623">
      <w:pPr>
        <w:jc w:val="center"/>
        <w:rPr>
          <w:rFonts w:eastAsia="Times New Roman" w:cs="Times New Roman"/>
          <w:szCs w:val="28"/>
          <w:lang w:eastAsia="ru-RU"/>
        </w:rPr>
      </w:pPr>
    </w:p>
    <w:p w:rsidR="00602623" w:rsidRPr="0042357F" w:rsidRDefault="00893248" w:rsidP="002A29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Астрахань – </w:t>
      </w:r>
      <w:r w:rsidR="00602623" w:rsidRPr="0042357F">
        <w:rPr>
          <w:rFonts w:eastAsia="Times New Roman" w:cs="Times New Roman"/>
          <w:szCs w:val="28"/>
          <w:lang w:eastAsia="ru-RU"/>
        </w:rPr>
        <w:t>административный центр Астраханской области.</w:t>
      </w:r>
    </w:p>
    <w:p w:rsidR="00602623" w:rsidRPr="0042357F" w:rsidRDefault="00602623" w:rsidP="002A298A">
      <w:pPr>
        <w:ind w:firstLine="567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Город Астрахань расположен на Прикаспийской низменности, в вер</w:t>
      </w:r>
      <w:r w:rsidR="00893248" w:rsidRPr="0042357F">
        <w:rPr>
          <w:rFonts w:eastAsia="Times New Roman" w:cs="Times New Roman"/>
          <w:szCs w:val="28"/>
        </w:rPr>
        <w:t xml:space="preserve">хней части  дельты р. Волга на </w:t>
      </w:r>
      <w:r w:rsidRPr="0042357F">
        <w:rPr>
          <w:rFonts w:eastAsia="Times New Roman" w:cs="Times New Roman"/>
          <w:szCs w:val="28"/>
        </w:rPr>
        <w:t>одиннадцати островах, занимаемая площадь – 0,21 тыс. кв. километров. Его территория пересечена рукавами и протоками (ериками), отходящими от Волжского русла на юго-восток (</w:t>
      </w:r>
      <w:proofErr w:type="spellStart"/>
      <w:r w:rsidRPr="0042357F">
        <w:rPr>
          <w:rFonts w:eastAsia="Times New Roman" w:cs="Times New Roman"/>
          <w:szCs w:val="28"/>
        </w:rPr>
        <w:t>Болда</w:t>
      </w:r>
      <w:proofErr w:type="spellEnd"/>
      <w:r w:rsidRPr="0042357F">
        <w:rPr>
          <w:rFonts w:eastAsia="Times New Roman" w:cs="Times New Roman"/>
          <w:szCs w:val="28"/>
        </w:rPr>
        <w:t xml:space="preserve">, Кутум, Царев, </w:t>
      </w:r>
      <w:proofErr w:type="spellStart"/>
      <w:r w:rsidRPr="0042357F">
        <w:rPr>
          <w:rFonts w:eastAsia="Times New Roman" w:cs="Times New Roman"/>
          <w:szCs w:val="28"/>
        </w:rPr>
        <w:t>Кизань</w:t>
      </w:r>
      <w:proofErr w:type="spellEnd"/>
      <w:r w:rsidRPr="0042357F">
        <w:rPr>
          <w:rFonts w:eastAsia="Times New Roman" w:cs="Times New Roman"/>
          <w:szCs w:val="28"/>
        </w:rPr>
        <w:t xml:space="preserve"> и др.). </w:t>
      </w:r>
    </w:p>
    <w:p w:rsidR="00602623" w:rsidRPr="0042357F" w:rsidRDefault="00602623" w:rsidP="002A29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Территориально город разделен на 4 района: Кировский, Ленинский, Советский,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Трусовский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>.</w:t>
      </w:r>
    </w:p>
    <w:p w:rsidR="00602623" w:rsidRPr="0042357F" w:rsidRDefault="00602623" w:rsidP="002A298A">
      <w:pPr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42357F">
        <w:rPr>
          <w:rFonts w:eastAsia="Times New Roman" w:cs="Times New Roman"/>
          <w:szCs w:val="28"/>
        </w:rPr>
        <w:t>По территории региона проходит главная водная артерия – река Волга, а через нее водные пути из прикаспийских государств  в Черное, Средиземное, Балтийск</w:t>
      </w:r>
      <w:r w:rsidR="00893248" w:rsidRPr="0042357F">
        <w:rPr>
          <w:rFonts w:eastAsia="Times New Roman" w:cs="Times New Roman"/>
          <w:szCs w:val="28"/>
        </w:rPr>
        <w:t>ое, Северное моря.</w:t>
      </w:r>
      <w:proofErr w:type="gramEnd"/>
      <w:r w:rsidR="00893248" w:rsidRPr="0042357F">
        <w:rPr>
          <w:rFonts w:eastAsia="Times New Roman" w:cs="Times New Roman"/>
          <w:szCs w:val="28"/>
        </w:rPr>
        <w:t xml:space="preserve">  Астрахань – </w:t>
      </w:r>
      <w:r w:rsidRPr="0042357F">
        <w:rPr>
          <w:rFonts w:eastAsia="Times New Roman" w:cs="Times New Roman"/>
          <w:szCs w:val="28"/>
        </w:rPr>
        <w:t xml:space="preserve">естественный центр транзитной торговли и крупный транспортный узел на стыке Азии и Европы. </w:t>
      </w:r>
    </w:p>
    <w:p w:rsidR="00602623" w:rsidRPr="0042357F" w:rsidRDefault="00602623" w:rsidP="002A298A">
      <w:pPr>
        <w:ind w:firstLine="567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Расположение Астрахани на Прикаспийской низменности, в дельте Волги с богатыми запасами природных ресурсов способствует развитию рыбной, плодоовощной, химической и нефтехимической промышленнос</w:t>
      </w:r>
      <w:r w:rsidR="000D2FA9" w:rsidRPr="0042357F">
        <w:rPr>
          <w:rFonts w:eastAsia="Times New Roman" w:cs="Times New Roman"/>
          <w:szCs w:val="28"/>
        </w:rPr>
        <w:t>ти, промышленности строительных</w:t>
      </w:r>
      <w:r w:rsidRPr="0042357F">
        <w:rPr>
          <w:rFonts w:eastAsia="Times New Roman" w:cs="Times New Roman"/>
          <w:szCs w:val="28"/>
        </w:rPr>
        <w:t xml:space="preserve"> материалов, судостроения.</w:t>
      </w:r>
    </w:p>
    <w:p w:rsidR="00602623" w:rsidRPr="0042357F" w:rsidRDefault="00602623" w:rsidP="002A298A">
      <w:pPr>
        <w:ind w:firstLine="567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 xml:space="preserve">В то же время Астрахань обладает достаточно благоприятными условиями для создания объектов, потенциально пригодных в качестве мест отдыха и лечения. Основу рекреационных ресурсов составляют минеральные воды и лечебные сульфидные иловые грязи озера Тинаки. Богатый животный мир Астраханского государственного биосферного заповедника благоприятствует развитию туризма в регионе, в </w:t>
      </w:r>
      <w:proofErr w:type="spellStart"/>
      <w:r w:rsidRPr="0042357F">
        <w:rPr>
          <w:rFonts w:eastAsia="Times New Roman" w:cs="Times New Roman"/>
          <w:szCs w:val="28"/>
        </w:rPr>
        <w:t>т.ч</w:t>
      </w:r>
      <w:proofErr w:type="spellEnd"/>
      <w:r w:rsidRPr="0042357F">
        <w:rPr>
          <w:rFonts w:eastAsia="Times New Roman" w:cs="Times New Roman"/>
          <w:szCs w:val="28"/>
        </w:rPr>
        <w:t>. и в областном центре.</w:t>
      </w:r>
    </w:p>
    <w:p w:rsidR="00602623" w:rsidRPr="00A7096F" w:rsidRDefault="00602623" w:rsidP="002A298A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02623" w:rsidRPr="0042357F" w:rsidRDefault="00041DC0" w:rsidP="005C0C2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Экономическое развитие</w:t>
      </w:r>
    </w:p>
    <w:p w:rsidR="00110C5D" w:rsidRPr="00A7096F" w:rsidRDefault="00110C5D" w:rsidP="00041DC0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4CAF" w:rsidRPr="00514CAF" w:rsidRDefault="00514CAF" w:rsidP="00514CAF">
      <w:pPr>
        <w:ind w:firstLine="567"/>
        <w:jc w:val="both"/>
        <w:rPr>
          <w:rFonts w:eastAsia="Calibri" w:cs="Times New Roman"/>
          <w:szCs w:val="28"/>
        </w:rPr>
      </w:pPr>
      <w:r w:rsidRPr="00514CAF">
        <w:rPr>
          <w:rFonts w:eastAsia="Calibri" w:cs="Times New Roman"/>
          <w:szCs w:val="28"/>
        </w:rPr>
        <w:t>Социально-экономическое развитие города – это повышение уровня развития и конкурентоспособности сферы производства и услуг, эффективности управления жизнедеятельностью города, качества жизни и культурного уровня населения.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По данным официальной статистики в  2016 году основные  показатели социально-экономического развития г.</w:t>
      </w:r>
      <w:r>
        <w:rPr>
          <w:rFonts w:eastAsia="Times New Roman" w:cs="Times New Roman"/>
          <w:szCs w:val="28"/>
        </w:rPr>
        <w:t xml:space="preserve"> </w:t>
      </w:r>
      <w:r w:rsidRPr="00514CAF">
        <w:rPr>
          <w:rFonts w:eastAsia="Times New Roman" w:cs="Times New Roman"/>
          <w:szCs w:val="28"/>
        </w:rPr>
        <w:t>Астрахани продемонстрировали стабильный результат.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Индекс промышленного производства по итогам года составил 117,9 %, общий объем отгруженных товаров собственного производства, выполненных  работ и услуг (далее – общий объем) – 117,1% к уровню 2015 года.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Наибольший ро</w:t>
      </w:r>
      <w:proofErr w:type="gramStart"/>
      <w:r w:rsidRPr="00514CAF">
        <w:rPr>
          <w:rFonts w:eastAsia="Times New Roman" w:cs="Times New Roman"/>
          <w:szCs w:val="28"/>
        </w:rPr>
        <w:t>ст в пр</w:t>
      </w:r>
      <w:proofErr w:type="gramEnd"/>
      <w:r w:rsidRPr="00514CAF">
        <w:rPr>
          <w:rFonts w:eastAsia="Times New Roman" w:cs="Times New Roman"/>
          <w:szCs w:val="28"/>
        </w:rPr>
        <w:t xml:space="preserve">омышленном производстве наблюдался в добыче полезных ископаемых (130,9%). Определяющим фактором стала реализация крупного проекта освоения месторождения им. </w:t>
      </w:r>
      <w:proofErr w:type="spellStart"/>
      <w:r w:rsidRPr="00514CAF">
        <w:rPr>
          <w:rFonts w:eastAsia="Times New Roman" w:cs="Times New Roman"/>
          <w:szCs w:val="28"/>
        </w:rPr>
        <w:t>Филановского</w:t>
      </w:r>
      <w:proofErr w:type="spellEnd"/>
      <w:r w:rsidRPr="00514CAF">
        <w:rPr>
          <w:rFonts w:eastAsia="Times New Roman" w:cs="Times New Roman"/>
          <w:szCs w:val="28"/>
        </w:rPr>
        <w:t>, в связи с этим доля данной отрасли в общем объеме по итогам года составила 64,1%.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На долю обрабатывающих произво</w:t>
      </w:r>
      <w:proofErr w:type="gramStart"/>
      <w:r w:rsidRPr="00514CAF">
        <w:rPr>
          <w:rFonts w:eastAsia="Times New Roman" w:cs="Times New Roman"/>
          <w:szCs w:val="28"/>
        </w:rPr>
        <w:t>дств в ф</w:t>
      </w:r>
      <w:proofErr w:type="gramEnd"/>
      <w:r w:rsidRPr="00514CAF">
        <w:rPr>
          <w:rFonts w:eastAsia="Times New Roman" w:cs="Times New Roman"/>
          <w:szCs w:val="28"/>
        </w:rPr>
        <w:t>ормировании общего объема  приходится</w:t>
      </w:r>
      <w:r>
        <w:rPr>
          <w:rFonts w:eastAsia="Times New Roman" w:cs="Times New Roman"/>
          <w:szCs w:val="28"/>
        </w:rPr>
        <w:t xml:space="preserve"> </w:t>
      </w:r>
      <w:r w:rsidRPr="00514CAF">
        <w:rPr>
          <w:rFonts w:eastAsia="Times New Roman" w:cs="Times New Roman"/>
          <w:szCs w:val="28"/>
        </w:rPr>
        <w:t>25%. Предприятиями этого вида деятельности отгружено товаров на сумму 48 млрд. руб., при этом индекс промышленного производства составил 102,5%.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Отраслью, стабильно обеспечивающей потребности города в энергоресурсах, является «Производство и распределение электроэнергии, газа и воды». </w:t>
      </w:r>
      <w:proofErr w:type="gramStart"/>
      <w:r w:rsidRPr="00514CAF">
        <w:rPr>
          <w:rFonts w:eastAsia="Times New Roman" w:cs="Times New Roman"/>
          <w:szCs w:val="28"/>
        </w:rPr>
        <w:t>По итогам 2016 года объем услуг составил 21 млрд. руб. (10,9% в общем объеме), индекс промышленного производства – 97,6%. Небольшое снижение обусловлено проведением  мероприятий по энергосбережению 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РФ», переходом на приборный учет энергоресурсов в многоквартирных домах и в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gramStart"/>
      <w:r w:rsidRPr="00514CAF">
        <w:rPr>
          <w:rFonts w:eastAsia="Times New Roman" w:cs="Times New Roman"/>
          <w:szCs w:val="28"/>
        </w:rPr>
        <w:t>организациях</w:t>
      </w:r>
      <w:proofErr w:type="gramEnd"/>
      <w:r w:rsidRPr="00514CAF">
        <w:rPr>
          <w:rFonts w:eastAsia="Times New Roman" w:cs="Times New Roman"/>
          <w:szCs w:val="28"/>
        </w:rPr>
        <w:t xml:space="preserve"> муниципальной бюджетной сферы.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4CAF">
        <w:rPr>
          <w:rFonts w:eastAsia="Times New Roman" w:cs="Times New Roman"/>
          <w:szCs w:val="28"/>
          <w:lang w:eastAsia="ru-RU"/>
        </w:rPr>
        <w:t xml:space="preserve">Инвестиции в основной капитал по крупным и средним предприятиям </w:t>
      </w:r>
      <w:r w:rsidR="00F06C51">
        <w:rPr>
          <w:rFonts w:eastAsia="Times New Roman" w:cs="Times New Roman"/>
          <w:szCs w:val="28"/>
          <w:lang w:eastAsia="ru-RU"/>
        </w:rPr>
        <w:t xml:space="preserve">                  </w:t>
      </w:r>
      <w:r w:rsidRPr="00514CAF">
        <w:rPr>
          <w:rFonts w:eastAsia="Times New Roman" w:cs="Times New Roman"/>
          <w:szCs w:val="28"/>
          <w:lang w:eastAsia="ru-RU"/>
        </w:rPr>
        <w:t>г. Астрахани за 2016 год сложились в объеме</w:t>
      </w:r>
      <w:r w:rsidR="00F06C51">
        <w:rPr>
          <w:rFonts w:eastAsia="Times New Roman" w:cs="Times New Roman"/>
          <w:szCs w:val="28"/>
          <w:lang w:eastAsia="ru-RU"/>
        </w:rPr>
        <w:t xml:space="preserve"> </w:t>
      </w:r>
      <w:r w:rsidRPr="00514CAF">
        <w:rPr>
          <w:rFonts w:eastAsia="Times New Roman" w:cs="Times New Roman"/>
          <w:szCs w:val="28"/>
          <w:lang w:eastAsia="ru-RU"/>
        </w:rPr>
        <w:t xml:space="preserve">83,4 млрд. руб., что выше уровня предыдущего года на 5,4%. 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Объем работ, выполненных по виду деятельности «Строительство», составил в абсолютном выражении </w:t>
      </w:r>
      <w:r w:rsidRPr="00514CAF">
        <w:rPr>
          <w:rFonts w:eastAsia="Times New Roman" w:cs="Times New Roman"/>
          <w:bCs/>
          <w:szCs w:val="28"/>
        </w:rPr>
        <w:t>8</w:t>
      </w:r>
      <w:r w:rsidRPr="00514CAF">
        <w:rPr>
          <w:rFonts w:eastAsia="Times New Roman" w:cs="Times New Roman"/>
          <w:szCs w:val="28"/>
        </w:rPr>
        <w:t xml:space="preserve"> млрд. руб. За 12 месяцев на территории города введено </w:t>
      </w:r>
      <w:r w:rsidRPr="00514CAF">
        <w:rPr>
          <w:rFonts w:eastAsia="Calibri" w:cs="Times New Roman"/>
          <w:bCs/>
          <w:szCs w:val="28"/>
        </w:rPr>
        <w:t>334,6</w:t>
      </w:r>
      <w:r w:rsidRPr="00514CAF">
        <w:rPr>
          <w:rFonts w:eastAsia="Times New Roman" w:cs="Times New Roman"/>
          <w:szCs w:val="28"/>
        </w:rPr>
        <w:t xml:space="preserve"> тыс. кв. м. общей площади жилых домов, что на 9,3% больше, чем годом ранее.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Рост наблюдался на рынке общественного питания. Его оборот составил </w:t>
      </w:r>
      <w:r w:rsidRPr="00514CAF">
        <w:rPr>
          <w:rFonts w:eastAsia="Times New Roman" w:cs="Times New Roman"/>
          <w:bCs/>
          <w:szCs w:val="28"/>
        </w:rPr>
        <w:t>2,3</w:t>
      </w:r>
      <w:r w:rsidRPr="00514CAF">
        <w:rPr>
          <w:rFonts w:eastAsia="Times New Roman" w:cs="Times New Roman"/>
          <w:szCs w:val="28"/>
        </w:rPr>
        <w:t xml:space="preserve"> млрд. руб. или </w:t>
      </w:r>
      <w:r w:rsidRPr="00514CAF">
        <w:rPr>
          <w:rFonts w:eastAsia="Times New Roman" w:cs="Times New Roman"/>
          <w:bCs/>
          <w:szCs w:val="28"/>
        </w:rPr>
        <w:t>120,6</w:t>
      </w:r>
      <w:r w:rsidRPr="00514CAF">
        <w:rPr>
          <w:rFonts w:eastAsia="Times New Roman" w:cs="Times New Roman"/>
          <w:szCs w:val="28"/>
        </w:rPr>
        <w:t xml:space="preserve">% к уровню 2015 года. 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Оборот розничной торговли в 2016 году составил </w:t>
      </w:r>
      <w:r w:rsidRPr="00514CAF">
        <w:rPr>
          <w:rFonts w:eastAsia="Times New Roman" w:cs="Times New Roman"/>
          <w:bCs/>
          <w:szCs w:val="28"/>
        </w:rPr>
        <w:t xml:space="preserve">127,3 </w:t>
      </w:r>
      <w:r w:rsidRPr="00514CAF">
        <w:rPr>
          <w:rFonts w:eastAsia="Times New Roman" w:cs="Times New Roman"/>
          <w:szCs w:val="28"/>
        </w:rPr>
        <w:t xml:space="preserve">млрд. руб. Торгующими организациями сформировано 95,9% всего оборота, рынками – 4,1%. Объем платных услуг, оказанных населению в отчетном году, составил 18,1 млрд. руб. 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Уровень жизни населения города Астрахани по итогам 2016 года характеризуется следующими значениями статистических показателей: </w:t>
      </w:r>
    </w:p>
    <w:p w:rsidR="00514CAF" w:rsidRPr="00514CAF" w:rsidRDefault="00514CAF" w:rsidP="00514CAF">
      <w:pPr>
        <w:pStyle w:val="aa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средняя заработная плата на крупных и средних предприятиях составила  </w:t>
      </w:r>
      <w:r w:rsidR="00F06C51">
        <w:rPr>
          <w:rFonts w:eastAsia="Times New Roman" w:cs="Times New Roman"/>
          <w:szCs w:val="28"/>
        </w:rPr>
        <w:t xml:space="preserve">       </w:t>
      </w:r>
      <w:r w:rsidRPr="00514CAF">
        <w:rPr>
          <w:rFonts w:eastAsia="Times New Roman" w:cs="Times New Roman"/>
          <w:szCs w:val="28"/>
        </w:rPr>
        <w:t>32 735,4  руб. с ростом  на 5,2% к аналогичному периоду  2015 года;</w:t>
      </w:r>
    </w:p>
    <w:p w:rsidR="00514CAF" w:rsidRPr="00514CAF" w:rsidRDefault="00514CAF" w:rsidP="00514CAF">
      <w:pPr>
        <w:pStyle w:val="aa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покупательная способность среднемесячной заработной платы составила 3,52 набора прожиточного минимума; </w:t>
      </w:r>
    </w:p>
    <w:p w:rsidR="00514CAF" w:rsidRPr="00514CAF" w:rsidRDefault="00514CAF" w:rsidP="00514CAF">
      <w:pPr>
        <w:pStyle w:val="aa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индекс потребительских цен составил 106,3%, снизившись по сравнению с 2015 годом на 9,2 </w:t>
      </w:r>
      <w:proofErr w:type="spellStart"/>
      <w:r w:rsidRPr="00514CAF">
        <w:rPr>
          <w:rFonts w:eastAsia="Times New Roman" w:cs="Times New Roman"/>
          <w:szCs w:val="28"/>
        </w:rPr>
        <w:t>п.п</w:t>
      </w:r>
      <w:proofErr w:type="spellEnd"/>
      <w:r w:rsidRPr="00514CAF">
        <w:rPr>
          <w:rFonts w:eastAsia="Times New Roman" w:cs="Times New Roman"/>
          <w:szCs w:val="28"/>
        </w:rPr>
        <w:t>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Средний размер назначенных месячных пенсий увеличился на 2,8% и составил </w:t>
      </w:r>
      <w:r w:rsidR="00F06C51">
        <w:rPr>
          <w:rFonts w:eastAsia="Times New Roman" w:cs="Times New Roman"/>
          <w:szCs w:val="28"/>
        </w:rPr>
        <w:t xml:space="preserve">  </w:t>
      </w:r>
      <w:r w:rsidRPr="00514CAF">
        <w:rPr>
          <w:rFonts w:eastAsia="Times New Roman" w:cs="Times New Roman"/>
          <w:szCs w:val="28"/>
        </w:rPr>
        <w:t xml:space="preserve">11 707,6 руб. 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bCs/>
          <w:szCs w:val="28"/>
        </w:rPr>
      </w:pPr>
      <w:r w:rsidRPr="00514CAF">
        <w:rPr>
          <w:rFonts w:eastAsia="Times New Roman" w:cs="Times New Roman"/>
          <w:szCs w:val="28"/>
        </w:rPr>
        <w:tab/>
      </w:r>
      <w:r w:rsidRPr="00514CAF">
        <w:rPr>
          <w:rFonts w:eastAsia="Times New Roman" w:cs="Times New Roman"/>
          <w:bCs/>
          <w:szCs w:val="28"/>
        </w:rPr>
        <w:t xml:space="preserve">Суммарная задолженность по заработной плате на некоторых предприятиях обрабатывающих производств и по предоставлению прочих </w:t>
      </w:r>
      <w:r w:rsidRPr="00514CAF">
        <w:rPr>
          <w:rFonts w:eastAsia="Times New Roman" w:cs="Times New Roman"/>
          <w:bCs/>
          <w:szCs w:val="28"/>
        </w:rPr>
        <w:br/>
        <w:t xml:space="preserve">коммунальных услуг на 1 </w:t>
      </w:r>
      <w:r w:rsidRPr="00514CAF">
        <w:rPr>
          <w:rFonts w:eastAsia="Times New Roman" w:cs="Times New Roman"/>
          <w:szCs w:val="28"/>
        </w:rPr>
        <w:t xml:space="preserve">января 2017 </w:t>
      </w:r>
      <w:r w:rsidRPr="00514CAF">
        <w:rPr>
          <w:rFonts w:eastAsia="Times New Roman" w:cs="Times New Roman"/>
          <w:bCs/>
          <w:szCs w:val="28"/>
        </w:rPr>
        <w:t>года сложилась в размере 11 млн. руб. и уменьшилась на 1,5%.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Уровень зарегистрированной безработицы в городе </w:t>
      </w:r>
      <w:proofErr w:type="gramStart"/>
      <w:r w:rsidRPr="00514CAF">
        <w:rPr>
          <w:rFonts w:eastAsia="Times New Roman" w:cs="Times New Roman"/>
          <w:szCs w:val="28"/>
        </w:rPr>
        <w:t>на конец</w:t>
      </w:r>
      <w:proofErr w:type="gramEnd"/>
      <w:r w:rsidRPr="00514CAF">
        <w:rPr>
          <w:rFonts w:eastAsia="Times New Roman" w:cs="Times New Roman"/>
          <w:szCs w:val="28"/>
        </w:rPr>
        <w:t xml:space="preserve"> 2016 года равен 0,9% от экономически активного населения.</w:t>
      </w:r>
    </w:p>
    <w:p w:rsidR="00514CAF" w:rsidRPr="00514CAF" w:rsidRDefault="00514CAF" w:rsidP="00514CAF">
      <w:pPr>
        <w:tabs>
          <w:tab w:val="left" w:pos="0"/>
        </w:tabs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514CAF">
        <w:rPr>
          <w:rFonts w:eastAsia="Times New Roman" w:cs="Times New Roman"/>
          <w:bCs/>
          <w:szCs w:val="28"/>
        </w:rPr>
        <w:t>Уровень рождаемости по итогам года равен 14,5</w:t>
      </w:r>
      <w:r w:rsidRPr="00514CAF">
        <w:rPr>
          <w:rFonts w:eastAsia="Times New Roman" w:cs="Times New Roman"/>
          <w:szCs w:val="28"/>
        </w:rPr>
        <w:t xml:space="preserve"> в расчете на 1000 человек населения</w:t>
      </w:r>
      <w:r w:rsidRPr="00514CAF">
        <w:rPr>
          <w:rFonts w:eastAsia="Times New Roman" w:cs="Times New Roman"/>
          <w:bCs/>
          <w:szCs w:val="28"/>
        </w:rPr>
        <w:t xml:space="preserve">, уровень смертности – 11,7. Превышение числа </w:t>
      </w:r>
      <w:proofErr w:type="gramStart"/>
      <w:r w:rsidRPr="00514CAF">
        <w:rPr>
          <w:rFonts w:eastAsia="Times New Roman" w:cs="Times New Roman"/>
          <w:bCs/>
          <w:szCs w:val="28"/>
        </w:rPr>
        <w:t>родившихся</w:t>
      </w:r>
      <w:proofErr w:type="gramEnd"/>
      <w:r w:rsidRPr="00514CAF">
        <w:rPr>
          <w:rFonts w:eastAsia="Times New Roman" w:cs="Times New Roman"/>
          <w:bCs/>
          <w:szCs w:val="28"/>
        </w:rPr>
        <w:t xml:space="preserve"> над умершими способствовало естественному приросту населения города.</w:t>
      </w:r>
    </w:p>
    <w:p w:rsidR="00460A84" w:rsidRDefault="00460A84" w:rsidP="002A29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A7E3E" w:rsidRPr="0042357F" w:rsidRDefault="006A7E3E" w:rsidP="003F27ED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1.Число субъектов малого и среднего предпринимательства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Малый и средний бизнес является неотъемлемым элементом современной экономики. Благодаря своей гибкости и способности перестраиваться этот сегмент гораздо устойчивее крупных предприятий к кризисным явлениям. 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По данным Управления Федеральной службы государственной статистики по Астраханской области и Республике Калмыкия на 1 января 2017 года на территории </w:t>
      </w:r>
      <w:r w:rsidR="00D051A0">
        <w:rPr>
          <w:rFonts w:cs="Times New Roman"/>
          <w:szCs w:val="28"/>
        </w:rPr>
        <w:t xml:space="preserve">   </w:t>
      </w:r>
      <w:r w:rsidRPr="0042357F">
        <w:rPr>
          <w:rFonts w:cs="Times New Roman"/>
          <w:szCs w:val="28"/>
        </w:rPr>
        <w:t xml:space="preserve">г. Астрахани осуществляли свою деятельность  оценочно 667 малых предприятий и  </w:t>
      </w:r>
      <w:r w:rsidR="00D051A0">
        <w:rPr>
          <w:rFonts w:cs="Times New Roman"/>
          <w:szCs w:val="28"/>
        </w:rPr>
        <w:t xml:space="preserve">   </w:t>
      </w:r>
      <w:r w:rsidRPr="0042357F">
        <w:rPr>
          <w:rFonts w:cs="Times New Roman"/>
          <w:szCs w:val="28"/>
        </w:rPr>
        <w:t xml:space="preserve">7 095 </w:t>
      </w:r>
      <w:proofErr w:type="spellStart"/>
      <w:r w:rsidRPr="0042357F">
        <w:rPr>
          <w:rFonts w:cs="Times New Roman"/>
          <w:szCs w:val="28"/>
        </w:rPr>
        <w:t>микропредприятий</w:t>
      </w:r>
      <w:proofErr w:type="spellEnd"/>
      <w:r w:rsidRPr="0042357F">
        <w:rPr>
          <w:rFonts w:cs="Times New Roman"/>
          <w:szCs w:val="28"/>
        </w:rPr>
        <w:t>. В результате</w:t>
      </w:r>
      <w:r w:rsidR="00D051A0">
        <w:rPr>
          <w:rFonts w:cs="Times New Roman"/>
          <w:szCs w:val="28"/>
        </w:rPr>
        <w:t>,</w:t>
      </w:r>
      <w:r w:rsidRPr="0042357F">
        <w:rPr>
          <w:rFonts w:cs="Times New Roman"/>
          <w:szCs w:val="28"/>
        </w:rPr>
        <w:t xml:space="preserve"> общее число малых предприятий составило </w:t>
      </w:r>
      <w:r w:rsidR="00D051A0">
        <w:rPr>
          <w:rFonts w:cs="Times New Roman"/>
          <w:szCs w:val="28"/>
        </w:rPr>
        <w:t xml:space="preserve">    </w:t>
      </w:r>
      <w:r w:rsidRPr="0042357F">
        <w:rPr>
          <w:rFonts w:cs="Times New Roman"/>
          <w:szCs w:val="28"/>
        </w:rPr>
        <w:t xml:space="preserve">7 762 единицы или 98,7% к уровню 2015 года. 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По оценке на территории г. Астрахани на конец 2016 года зарегистрировано </w:t>
      </w:r>
      <w:r w:rsidR="00D051A0">
        <w:rPr>
          <w:rFonts w:cs="Times New Roman"/>
          <w:szCs w:val="28"/>
        </w:rPr>
        <w:t xml:space="preserve">    </w:t>
      </w:r>
      <w:r w:rsidRPr="0042357F">
        <w:rPr>
          <w:rFonts w:cs="Times New Roman"/>
          <w:szCs w:val="28"/>
        </w:rPr>
        <w:t xml:space="preserve">14 864 </w:t>
      </w:r>
      <w:proofErr w:type="gramStart"/>
      <w:r w:rsidRPr="0042357F">
        <w:rPr>
          <w:rFonts w:cs="Times New Roman"/>
          <w:szCs w:val="28"/>
        </w:rPr>
        <w:t>индивидуальных</w:t>
      </w:r>
      <w:proofErr w:type="gramEnd"/>
      <w:r w:rsidRPr="0042357F">
        <w:rPr>
          <w:rFonts w:cs="Times New Roman"/>
          <w:szCs w:val="28"/>
        </w:rPr>
        <w:t xml:space="preserve"> предпринимателя, что на 5% выше уровня предыдущего года. Это предположительно связано с перерегистрацией юридических лиц в статус индивидуальных предпринимателей.   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Общее число субъектов малого и среднего предпринимательства составило </w:t>
      </w:r>
      <w:r w:rsidR="00D051A0">
        <w:rPr>
          <w:rFonts w:cs="Times New Roman"/>
          <w:szCs w:val="28"/>
        </w:rPr>
        <w:t xml:space="preserve">     </w:t>
      </w:r>
      <w:r w:rsidRPr="0042357F">
        <w:rPr>
          <w:rFonts w:cs="Times New Roman"/>
          <w:szCs w:val="28"/>
        </w:rPr>
        <w:t xml:space="preserve">22 662 единицы, что на 2,7% выше уровня предыдущего года. В связи с этим данный показатель в расчете на 10 тыс. человек населения увеличился до 425,89 единиц против 414,46 единиц в 2015 году. 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>В целях поддержки предпринимательства в 2016 году были осуществлены следующие мероприятия:</w:t>
      </w:r>
    </w:p>
    <w:p w:rsidR="0042357F" w:rsidRPr="0042357F" w:rsidRDefault="0042357F" w:rsidP="00427CA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>организованы семинары для начинающих предпринимателей и представителей малого и среднего бизнеса по вопросам развития бизнеса, налогообложения, предоставления льгот;</w:t>
      </w:r>
    </w:p>
    <w:p w:rsidR="0042357F" w:rsidRPr="0042357F" w:rsidRDefault="0042357F" w:rsidP="00427CA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реализован проект «Школа молодого предпринимателя» с целью выявления и </w:t>
      </w:r>
      <w:proofErr w:type="gramStart"/>
      <w:r w:rsidRPr="0042357F">
        <w:rPr>
          <w:rFonts w:cs="Times New Roman"/>
          <w:szCs w:val="28"/>
        </w:rPr>
        <w:t>поощрения</w:t>
      </w:r>
      <w:proofErr w:type="gramEnd"/>
      <w:r w:rsidRPr="0042357F">
        <w:rPr>
          <w:rFonts w:cs="Times New Roman"/>
          <w:szCs w:val="28"/>
        </w:rPr>
        <w:t xml:space="preserve"> активных и одаренных предпринимательскими способностями молодых людей.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 xml:space="preserve">Работа по данным мероприятиям продолжится и в плановом периоде, что будет способствовать увеличению количества малых и </w:t>
      </w:r>
      <w:proofErr w:type="spellStart"/>
      <w:r w:rsidRPr="0042357F">
        <w:rPr>
          <w:rFonts w:cs="Times New Roman"/>
          <w:szCs w:val="28"/>
        </w:rPr>
        <w:t>микропредприятий</w:t>
      </w:r>
      <w:proofErr w:type="spellEnd"/>
      <w:r w:rsidRPr="0042357F">
        <w:rPr>
          <w:rFonts w:cs="Times New Roman"/>
          <w:szCs w:val="28"/>
        </w:rPr>
        <w:t xml:space="preserve"> в 2019 году до </w:t>
      </w:r>
      <w:r w:rsidR="00D051A0">
        <w:rPr>
          <w:rFonts w:cs="Times New Roman"/>
          <w:szCs w:val="28"/>
        </w:rPr>
        <w:t xml:space="preserve">    </w:t>
      </w:r>
      <w:r w:rsidRPr="0042357F">
        <w:rPr>
          <w:rFonts w:cs="Times New Roman"/>
          <w:szCs w:val="28"/>
        </w:rPr>
        <w:t xml:space="preserve">7 785 единиц или с ростом 0,3% к уровню 2016 года, а числа индивидуальных предпринимателей – до 15 073 человек или на 1,4% за трехлетний плановый период. </w:t>
      </w:r>
    </w:p>
    <w:p w:rsidR="0042357F" w:rsidRPr="0042357F" w:rsidRDefault="0042357F" w:rsidP="0042357F">
      <w:pPr>
        <w:ind w:firstLine="709"/>
        <w:jc w:val="both"/>
        <w:rPr>
          <w:rFonts w:cs="Times New Roman"/>
          <w:szCs w:val="28"/>
        </w:rPr>
      </w:pPr>
      <w:r w:rsidRPr="0042357F">
        <w:rPr>
          <w:rFonts w:cs="Times New Roman"/>
          <w:szCs w:val="28"/>
        </w:rPr>
        <w:t>Превышение темпов роста субъектов малого предпринимательства по сравнению с темпами роста численности населения города в планируемом периоде обеспечит ежегодное увеличение соотношения этих показателей (на 10 тыс. населения) в период 2017-2019</w:t>
      </w:r>
      <w:r w:rsidR="00F82BB2">
        <w:rPr>
          <w:rFonts w:cs="Times New Roman"/>
          <w:szCs w:val="28"/>
        </w:rPr>
        <w:t xml:space="preserve"> </w:t>
      </w:r>
      <w:r w:rsidRPr="0042357F">
        <w:rPr>
          <w:rFonts w:cs="Times New Roman"/>
          <w:szCs w:val="28"/>
        </w:rPr>
        <w:t>гг.: 2017 год – 425,94 ед., 2018 год – 426,04 ед., 2019 год – 426,56 ед.</w:t>
      </w:r>
    </w:p>
    <w:p w:rsidR="00796A84" w:rsidRPr="00A7096F" w:rsidRDefault="00796A84" w:rsidP="006A7E3E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A7E3E" w:rsidRPr="0042357F" w:rsidRDefault="006A7E3E" w:rsidP="003F27ED">
      <w:pPr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>Среднесписочная численность работников (без внешних совместителей) всех предприятий и организаций города в 2016 году по оценке составила</w:t>
      </w:r>
      <w:r w:rsidR="00F82BB2">
        <w:rPr>
          <w:rFonts w:eastAsia="Times New Roman" w:cs="Times New Roman"/>
          <w:szCs w:val="28"/>
          <w:lang w:eastAsia="ru-RU"/>
        </w:rPr>
        <w:t xml:space="preserve"> </w:t>
      </w:r>
      <w:r w:rsidRPr="0042357F">
        <w:rPr>
          <w:rFonts w:eastAsia="Times New Roman" w:cs="Times New Roman"/>
          <w:szCs w:val="28"/>
          <w:lang w:eastAsia="ru-RU"/>
        </w:rPr>
        <w:t xml:space="preserve">162 266 человек или 95,8% к  предыдущему году. Общее число работающих на малых предприятиях (с учетом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микропредприятий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 xml:space="preserve">) уменьшилось  к 2015 году на 3,3% (до 34 010 человек). Такая ситуация объясняется перерегистрацией малых и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микропредприятий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 xml:space="preserve"> в индивидуальное предпринимательство.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Кроме того, одним из факторов снижения работающих на малых и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микропредприятиях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 xml:space="preserve"> города стала миграция населения трудоспособного возраста в другие города России.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Доля работающих на малых и средних </w:t>
      </w:r>
      <w:proofErr w:type="gramStart"/>
      <w:r w:rsidRPr="0042357F">
        <w:rPr>
          <w:rFonts w:eastAsia="Times New Roman" w:cs="Times New Roman"/>
          <w:szCs w:val="28"/>
          <w:lang w:eastAsia="ru-RU"/>
        </w:rPr>
        <w:t>предприятиях</w:t>
      </w:r>
      <w:proofErr w:type="gramEnd"/>
      <w:r w:rsidRPr="0042357F">
        <w:rPr>
          <w:rFonts w:eastAsia="Times New Roman" w:cs="Times New Roman"/>
          <w:szCs w:val="28"/>
          <w:lang w:eastAsia="ru-RU"/>
        </w:rPr>
        <w:t xml:space="preserve"> от общего числа работающих выросла в 2016 году до 23,45%  (2015 год – 23,14%).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>К концу 2017 года ожидается снижение среднесписочной численности работников всех предприятий и организаций до 161 753 человек</w:t>
      </w:r>
      <w:r w:rsidR="00F82BB2">
        <w:rPr>
          <w:rFonts w:eastAsia="Times New Roman" w:cs="Times New Roman"/>
          <w:szCs w:val="28"/>
          <w:lang w:eastAsia="ru-RU"/>
        </w:rPr>
        <w:t xml:space="preserve"> </w:t>
      </w:r>
      <w:r w:rsidRPr="0042357F">
        <w:rPr>
          <w:rFonts w:eastAsia="Times New Roman" w:cs="Times New Roman"/>
          <w:szCs w:val="28"/>
          <w:lang w:eastAsia="ru-RU"/>
        </w:rPr>
        <w:t>или на 0,3% к уровню 2016 года. В 2018 году темп роста составит 100,0%, а численность работающих на всех предприятиях – 161 787 человек, в 2018 году при росте на 0,1% численность достигнет 161 983 человек.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Дальнейшее развитие малого бизнеса будет способствовать созданию новых рабочих мест и увеличению численности </w:t>
      </w:r>
      <w:proofErr w:type="gramStart"/>
      <w:r w:rsidRPr="0042357F">
        <w:rPr>
          <w:rFonts w:eastAsia="Times New Roman" w:cs="Times New Roman"/>
          <w:szCs w:val="28"/>
          <w:lang w:eastAsia="ru-RU"/>
        </w:rPr>
        <w:t>работников</w:t>
      </w:r>
      <w:proofErr w:type="gramEnd"/>
      <w:r w:rsidRPr="0042357F">
        <w:rPr>
          <w:rFonts w:eastAsia="Times New Roman" w:cs="Times New Roman"/>
          <w:szCs w:val="28"/>
          <w:lang w:eastAsia="ru-RU"/>
        </w:rPr>
        <w:t xml:space="preserve">  как на малых, так и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микропредприятиях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>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Общая среднесписочная численность работников малых и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микропредприятий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 xml:space="preserve"> составит в 2017 году 34 010 человек, что на уровне 2016 года, в 2018 году – 34 044  человека или 100,1% к предыдущему году, в 2019 году – 34 112 человек или 100,2%. 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Соответственно, вырастет и доля работников малых предприятий в среднесписочной численности всех предприятий: в 2017 году – до 23,52%, в 2018 году – до 23,54%, в 2019 году – </w:t>
      </w:r>
      <w:proofErr w:type="gramStart"/>
      <w:r w:rsidRPr="0042357F">
        <w:rPr>
          <w:rFonts w:eastAsia="Times New Roman" w:cs="Times New Roman"/>
          <w:szCs w:val="28"/>
          <w:lang w:eastAsia="ru-RU"/>
        </w:rPr>
        <w:t>до</w:t>
      </w:r>
      <w:proofErr w:type="gramEnd"/>
      <w:r w:rsidRPr="0042357F">
        <w:rPr>
          <w:rFonts w:eastAsia="Times New Roman" w:cs="Times New Roman"/>
          <w:szCs w:val="28"/>
          <w:lang w:eastAsia="ru-RU"/>
        </w:rPr>
        <w:t xml:space="preserve"> 23,55%.</w:t>
      </w:r>
    </w:p>
    <w:p w:rsidR="00602623" w:rsidRPr="00A7096F" w:rsidRDefault="00602623" w:rsidP="003F27ED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A7E3E" w:rsidRPr="0042357F" w:rsidRDefault="006A7E3E" w:rsidP="003F27ED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3.Объем инвестиций в основной капитал (за исключением бюджетных средств) в расчете на 1 жителя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 xml:space="preserve">Объем инвестиций в основной капитал по крупным, средним, малым и 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микропредприятиям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 за 2016 год сложился   в    сумме    86 198 455,5  тыс. руб.,   или   на   уровне   прошлого   года  в сопоставимых ценах. 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 xml:space="preserve">Бюджетные инвестиции составили 2 179 301 тыс. руб. против 6 142 538 тыс. руб. в 2015 году. Снижение связано с уменьшением субсидий из федерального бюджета.   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Таким образом, в расчете на 1 жителя пришлось 55 189,58 руб. инвестиций  без учета бюджетных сре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дств в ц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енах 2003 года (в 2015 году – 52 479,46 руб.). 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Объем инвестиций в основной капитал на период 2017-2019 годов рассчитывался с учётом планов развития и инвестиционных проектов  предприятий, находящихся на территории    города.   По   годам   этот  показатель планируется в объеме: 2017 год – 92 851 941,9 тыс. руб., 2018 год – 99 748 612,7 тыс. руб., 2019 год – 107 571 497,4 тыс. руб.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bCs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Инвестиции в основной капитал за счет бюджетных средств в 2017 году сложатся в сумме 2 347 516,9 тыс. руб., в 2018 – 2 521 881,0 тыс. руб., в 2019 – 2 719 662,1 тыс. руб.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В расчете на душу населения объем инвестиций в основной капитал без учета бюджетных  средств  в ценах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2003 года в планируемом периоде составит:  2017  год – 56 264,49 руб.,  2018 год – 57 698,00 руб.,  2019 год –  59 325,49 руб.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 xml:space="preserve">Рост инвестиций на душу населения в планируемом периоде будет обусловлен развитием предприятий реального сектора экономики (топливно-энергетический комплекс, судостроение, металлургия, строительство, транспорт), а также строительством объектов социальной сферы на территории города. 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Основными направлениями развития топливно-энергетического комплекса на перспективу 2017-2019 годов является разработка и обустройств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о  ООО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«Лукойл-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Нижневолжскнефть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» месторождения нефти и газа на севере Каспия (строительство 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ледостойкой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стационарной платформы и жилого модуля для второй очереди месторождения им. В. 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Филановского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и блок-кондуктора для месторождения им. Ю. Корчагина).</w:t>
      </w:r>
    </w:p>
    <w:p w:rsidR="0042357F" w:rsidRPr="0042357F" w:rsidRDefault="0042357F" w:rsidP="003F27ED">
      <w:pPr>
        <w:ind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 xml:space="preserve">В 2017-2019 годах планируется реализовать несколько крупных инвестиционных проектов на территории города: 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модернизация производств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а ООО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«Астраханская консервная компания»; 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модернизация парогазовой установк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и ООО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«ЛУКОЙЛ-Астраханьэнерго»;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оптимизация производственного процесса среднего и капитального ремонта тепловозов на АТРЗ филиала ОАО «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Желдорреммаш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». Изменение существующей технологии ремонта тепловозов за счет организации в 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тепловозосборочном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цехе двух параллельных поточных линий; 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внедрение в производственный процесс мини-газотурбинной теплоэлектростанции с целью экономии электр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о-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и 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теплоэнергии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 на ООО ПКФ «Дюна-</w:t>
      </w:r>
      <w:proofErr w:type="spellStart"/>
      <w:r w:rsidRPr="0042357F">
        <w:rPr>
          <w:rFonts w:eastAsia="Times New Roman" w:cs="Times New Roman"/>
          <w:spacing w:val="1"/>
          <w:szCs w:val="28"/>
          <w:lang w:eastAsia="ru-RU"/>
        </w:rPr>
        <w:t>Аст</w:t>
      </w:r>
      <w:proofErr w:type="spellEnd"/>
      <w:r w:rsidRPr="0042357F">
        <w:rPr>
          <w:rFonts w:eastAsia="Times New Roman" w:cs="Times New Roman"/>
          <w:spacing w:val="1"/>
          <w:szCs w:val="28"/>
          <w:lang w:eastAsia="ru-RU"/>
        </w:rPr>
        <w:t>»;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реконструкция грузового причала №2 ОАО ГК «Армада»;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spacing w:val="1"/>
          <w:szCs w:val="28"/>
          <w:lang w:eastAsia="ru-RU"/>
        </w:rPr>
        <w:t>развитие и реконструкция порт</w:t>
      </w:r>
      <w:proofErr w:type="gramStart"/>
      <w:r w:rsidRPr="0042357F">
        <w:rPr>
          <w:rFonts w:eastAsia="Times New Roman" w:cs="Times New Roman"/>
          <w:spacing w:val="1"/>
          <w:szCs w:val="28"/>
          <w:lang w:eastAsia="ru-RU"/>
        </w:rPr>
        <w:t>а ООО</w:t>
      </w:r>
      <w:proofErr w:type="gramEnd"/>
      <w:r w:rsidRPr="0042357F">
        <w:rPr>
          <w:rFonts w:eastAsia="Times New Roman" w:cs="Times New Roman"/>
          <w:spacing w:val="1"/>
          <w:szCs w:val="28"/>
          <w:lang w:eastAsia="ru-RU"/>
        </w:rPr>
        <w:t xml:space="preserve"> «Альфа Порт»;</w:t>
      </w:r>
    </w:p>
    <w:p w:rsidR="0042357F" w:rsidRPr="0042357F" w:rsidRDefault="0042357F" w:rsidP="003F27E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2357F">
        <w:rPr>
          <w:rFonts w:eastAsia="Times New Roman" w:cs="Times New Roman"/>
          <w:bCs/>
          <w:spacing w:val="1"/>
          <w:szCs w:val="28"/>
          <w:lang w:eastAsia="ru-RU"/>
        </w:rPr>
        <w:t>организация парковочного пространства на территории муниципального образования «Город Астрахань» в рамках механизма концессии как вида муниципально-частного партнерства  и др.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3C23F9" w:rsidRPr="003A3F25" w:rsidRDefault="003C23F9" w:rsidP="003F27ED">
      <w:pPr>
        <w:ind w:firstLine="709"/>
        <w:jc w:val="both"/>
        <w:rPr>
          <w:b/>
          <w:szCs w:val="28"/>
        </w:rPr>
      </w:pPr>
      <w:r w:rsidRPr="003A3F25">
        <w:rPr>
          <w:b/>
          <w:szCs w:val="28"/>
        </w:rPr>
        <w:t>4.Доля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>Общая площадь земель территории муниципального образования «Город Астрахань» составляет 20 869 га.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 xml:space="preserve">В составе земель территории  муниципального образования «Город Астрахань», земли, подлежащие налогообложению в соответствии с действующим законодательством, в период 2012-2014 года составляли 13 285 га. 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 xml:space="preserve">В 2015 году данный показатель составил 13 309,6 га.  </w:t>
      </w:r>
      <w:proofErr w:type="gramStart"/>
      <w:r w:rsidRPr="00276789">
        <w:rPr>
          <w:szCs w:val="28"/>
        </w:rPr>
        <w:t xml:space="preserve">Площадь земельных участков, не признаваемых объектом налогообложения, – 7 559,4 га (в </w:t>
      </w:r>
      <w:proofErr w:type="spellStart"/>
      <w:r w:rsidRPr="00276789">
        <w:rPr>
          <w:szCs w:val="28"/>
        </w:rPr>
        <w:t>т.ч</w:t>
      </w:r>
      <w:proofErr w:type="spellEnd"/>
      <w:r w:rsidRPr="00276789">
        <w:rPr>
          <w:szCs w:val="28"/>
        </w:rPr>
        <w:t>. 2 874 га -  земли, занятые водными объектами; 138 га – земельные участки, ограниченные в обороте (предоставленные для обеспечения обороны, безопасности, таможенных нужд, занятые объектами историко-культурного наследия), 4 041 га — земли общего пользования и 506,4  га - земли, занятые городскими лесами</w:t>
      </w:r>
      <w:r w:rsidR="00F82BB2">
        <w:rPr>
          <w:szCs w:val="28"/>
        </w:rPr>
        <w:t>)</w:t>
      </w:r>
      <w:r w:rsidRPr="00276789">
        <w:rPr>
          <w:szCs w:val="28"/>
        </w:rPr>
        <w:t xml:space="preserve">. </w:t>
      </w:r>
      <w:proofErr w:type="gramEnd"/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 xml:space="preserve">Изменение площади территории, подлежащей налогообложению, в сторону увеличения связано с уменьшением площади земель, занятых городскими лесами (в период  2012-2014 гг. площадь земель, занятых городскими лесами, составляла 531 га), в результате уточнения границ данных земельных участков. В 2016 году данный показатель не изменился по сравнению с 2015 годом и составляет 13 309,6 га. 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 xml:space="preserve">В 2016 году площадь земельных участков, являющихся объектом налогообложения, с оформленными документами землепользования составила  5 621,6 га,  в том числе находящихся </w:t>
      </w:r>
      <w:proofErr w:type="gramStart"/>
      <w:r w:rsidRPr="00276789">
        <w:rPr>
          <w:szCs w:val="28"/>
        </w:rPr>
        <w:t>в</w:t>
      </w:r>
      <w:proofErr w:type="gramEnd"/>
      <w:r w:rsidRPr="00276789">
        <w:rPr>
          <w:szCs w:val="28"/>
        </w:rPr>
        <w:t>:</w:t>
      </w:r>
    </w:p>
    <w:p w:rsidR="00276789" w:rsidRPr="00276789" w:rsidRDefault="00276789" w:rsidP="003F27E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76789">
        <w:rPr>
          <w:szCs w:val="28"/>
        </w:rPr>
        <w:t>собственности граждан и юридических лиц - 3 614,2 га или 64,3%;</w:t>
      </w:r>
    </w:p>
    <w:p w:rsidR="00276789" w:rsidRPr="00276789" w:rsidRDefault="00276789" w:rsidP="003F27E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76789">
        <w:rPr>
          <w:szCs w:val="28"/>
        </w:rPr>
        <w:t xml:space="preserve">постоянном (бессрочном) </w:t>
      </w:r>
      <w:proofErr w:type="gramStart"/>
      <w:r w:rsidRPr="00276789">
        <w:rPr>
          <w:szCs w:val="28"/>
        </w:rPr>
        <w:t>пользовании</w:t>
      </w:r>
      <w:proofErr w:type="gramEnd"/>
      <w:r w:rsidRPr="00276789">
        <w:rPr>
          <w:szCs w:val="28"/>
        </w:rPr>
        <w:t xml:space="preserve"> - 1949,4 га или 34,7%;</w:t>
      </w:r>
    </w:p>
    <w:p w:rsidR="00276789" w:rsidRPr="00276789" w:rsidRDefault="00276789" w:rsidP="003F27E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76789">
        <w:rPr>
          <w:szCs w:val="28"/>
        </w:rPr>
        <w:t xml:space="preserve">пожизненно наследуемом </w:t>
      </w:r>
      <w:proofErr w:type="gramStart"/>
      <w:r w:rsidRPr="00276789">
        <w:rPr>
          <w:szCs w:val="28"/>
        </w:rPr>
        <w:t>владении</w:t>
      </w:r>
      <w:proofErr w:type="gramEnd"/>
      <w:r w:rsidRPr="00276789">
        <w:rPr>
          <w:szCs w:val="28"/>
        </w:rPr>
        <w:t xml:space="preserve"> - 58 га или 1%.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>Увеличение в 2016 году по отношению к предыдущим годам площади земельных участков, являющихся объектом налогообложения, обусловлено оформлением в собственность граждан и юридических лиц земельных участков, а также предоставление земельных участков юридическим лицам в постоянное (бессрочное) пользование.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r w:rsidRPr="00276789">
        <w:rPr>
          <w:szCs w:val="28"/>
        </w:rPr>
        <w:t>Таким образом, доля площади земельных участков, являющихся объектами налогообложения земельным налогом, в общей площади территории городского округа в 2016  году составила 42,24%.</w:t>
      </w:r>
    </w:p>
    <w:p w:rsidR="00276789" w:rsidRPr="00276789" w:rsidRDefault="00276789" w:rsidP="003F27ED">
      <w:pPr>
        <w:ind w:firstLine="709"/>
        <w:jc w:val="both"/>
        <w:rPr>
          <w:szCs w:val="28"/>
        </w:rPr>
      </w:pPr>
      <w:proofErr w:type="gramStart"/>
      <w:r w:rsidRPr="00276789">
        <w:rPr>
          <w:szCs w:val="28"/>
        </w:rPr>
        <w:t>В 2017-2019 годах администрация муниципального образования «Город Астрахань» продолжит работу по предоставлению земельных участков в собственность граждан и юридических лиц, а также в постоянное (бессрочное) пользование юридическим лицам в порядке, установленном действующим законодательством, в связи с чем, планируется увеличение доли площади земельных участков, являющихся объектом налогообложения: в 2017 году – до 42,68%, в 2018 году до 43,18%, в 2019 году – до</w:t>
      </w:r>
      <w:proofErr w:type="gramEnd"/>
      <w:r w:rsidRPr="00276789">
        <w:rPr>
          <w:szCs w:val="28"/>
        </w:rPr>
        <w:t xml:space="preserve"> 43,68%.</w:t>
      </w:r>
    </w:p>
    <w:p w:rsidR="009A08E1" w:rsidRPr="009A08E1" w:rsidRDefault="009A08E1" w:rsidP="009A08E1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733FAB" w:rsidRDefault="00B574E1" w:rsidP="003F27E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</w:t>
      </w:r>
      <w:r w:rsidRPr="00B574E1">
        <w:rPr>
          <w:b/>
          <w:szCs w:val="28"/>
        </w:rPr>
        <w:t xml:space="preserve">Доля протяженности автомобильных 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</w:t>
      </w:r>
    </w:p>
    <w:p w:rsidR="00B574E1" w:rsidRPr="000B77ED" w:rsidRDefault="00733FAB" w:rsidP="003F27ED">
      <w:pPr>
        <w:ind w:firstLine="709"/>
        <w:jc w:val="both"/>
        <w:rPr>
          <w:szCs w:val="28"/>
        </w:rPr>
      </w:pPr>
      <w:proofErr w:type="gramStart"/>
      <w:r w:rsidRPr="00733FAB">
        <w:rPr>
          <w:szCs w:val="28"/>
        </w:rPr>
        <w:t xml:space="preserve">Доля протяженности автомобильных 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</w:t>
      </w:r>
      <w:r w:rsidR="00B574E1" w:rsidRPr="00733FAB">
        <w:rPr>
          <w:szCs w:val="28"/>
        </w:rPr>
        <w:t>в 2016 году</w:t>
      </w:r>
      <w:r w:rsidR="00B574E1" w:rsidRPr="00B574E1">
        <w:rPr>
          <w:b/>
          <w:szCs w:val="28"/>
        </w:rPr>
        <w:t xml:space="preserve">  </w:t>
      </w:r>
      <w:r w:rsidR="00B574E1" w:rsidRPr="000B77ED">
        <w:rPr>
          <w:szCs w:val="28"/>
        </w:rPr>
        <w:t xml:space="preserve">составила – 50,49%  и была определена как отношение протяжённости автомобильных дорог общего пользования местного значения, не отвечающих нормативным требованиям (415,00 км) к протяжённости автомобильных дорог общего пользования местного значения (822,00 км). </w:t>
      </w:r>
      <w:proofErr w:type="gramEnd"/>
    </w:p>
    <w:p w:rsidR="002B3851" w:rsidRPr="000B77ED" w:rsidRDefault="00B574E1" w:rsidP="003F27ED">
      <w:pPr>
        <w:ind w:firstLine="709"/>
        <w:jc w:val="both"/>
        <w:rPr>
          <w:szCs w:val="28"/>
        </w:rPr>
      </w:pPr>
      <w:r w:rsidRPr="000B77ED">
        <w:rPr>
          <w:szCs w:val="28"/>
        </w:rPr>
        <w:t>В 2017-2019 годах, согласно выделенны</w:t>
      </w:r>
      <w:r w:rsidR="00595114">
        <w:rPr>
          <w:szCs w:val="28"/>
        </w:rPr>
        <w:t>м</w:t>
      </w:r>
      <w:r w:rsidRPr="000B77ED">
        <w:rPr>
          <w:szCs w:val="28"/>
        </w:rPr>
        <w:t xml:space="preserve"> лимит</w:t>
      </w:r>
      <w:r w:rsidR="00595114">
        <w:rPr>
          <w:szCs w:val="28"/>
        </w:rPr>
        <w:t>ам</w:t>
      </w:r>
      <w:r w:rsidRPr="000B77ED">
        <w:rPr>
          <w:szCs w:val="28"/>
        </w:rPr>
        <w:t>, будут проведены работы  по ремонту асфальтобетонного покрытия улично-дорожной сети города в рамках реализации мероприятия «Комплексное развитие транспортной инфраструктуры Астраханской городской агломерации</w:t>
      </w:r>
      <w:r w:rsidR="00595114">
        <w:rPr>
          <w:szCs w:val="28"/>
        </w:rPr>
        <w:t>»</w:t>
      </w:r>
      <w:r w:rsidRPr="000B77ED">
        <w:rPr>
          <w:szCs w:val="28"/>
        </w:rPr>
        <w:t xml:space="preserve"> в рамках приоритетного направления стратегического развития Российской Федерации </w:t>
      </w:r>
      <w:r w:rsidR="00595114">
        <w:rPr>
          <w:szCs w:val="28"/>
        </w:rPr>
        <w:t>«</w:t>
      </w:r>
      <w:r w:rsidRPr="000B77ED">
        <w:rPr>
          <w:szCs w:val="28"/>
        </w:rPr>
        <w:t>Б</w:t>
      </w:r>
      <w:r w:rsidR="00595114">
        <w:rPr>
          <w:szCs w:val="28"/>
        </w:rPr>
        <w:t>езопасные и качественные дороги»</w:t>
      </w:r>
      <w:r w:rsidRPr="000B77ED">
        <w:rPr>
          <w:szCs w:val="28"/>
        </w:rPr>
        <w:t>. Доля автомобильных дорог общего пользования местного значения не отвечающих нормативным требованиям уменьшится и составит: в 2017 году - 48,29%, в 2018 году – 43,84%, в 2019 году – 43,23%.</w:t>
      </w:r>
    </w:p>
    <w:p w:rsidR="006D427D" w:rsidRPr="00A7096F" w:rsidRDefault="006D427D" w:rsidP="002A298A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02623" w:rsidRPr="00276789" w:rsidRDefault="00602623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7.Доля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Пассажирское автобусное и железнодорожное сообщение имеет огромное значение для общественной жизни и социально-экономического развития города, поскольку не просто обеспечивает физическое перемещение </w:t>
      </w:r>
      <w:proofErr w:type="gramStart"/>
      <w:r w:rsidRPr="00276789">
        <w:rPr>
          <w:rFonts w:eastAsia="Times New Roman" w:cs="Times New Roman"/>
          <w:szCs w:val="28"/>
          <w:lang w:eastAsia="ru-RU"/>
        </w:rPr>
        <w:t>населения</w:t>
      </w:r>
      <w:proofErr w:type="gramEnd"/>
      <w:r w:rsidRPr="00276789">
        <w:rPr>
          <w:rFonts w:eastAsia="Times New Roman" w:cs="Times New Roman"/>
          <w:szCs w:val="28"/>
          <w:lang w:eastAsia="ru-RU"/>
        </w:rPr>
        <w:t xml:space="preserve"> как по городу, так и между населёнными пунктами области, но и поддерживает деловые, общественно-политические, гуманитарные, культурные связи между различными регионами страны. 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Население (среднегодовая численность в 2016 году – 532 112 чел.) всех районов города имеет регулярный доступ к услугам автобусного и железнодорожного транспорта. 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Наличие каждого  вида транспортного сообщения сохранится и в планируемом периоде 2017-2019 гг. Таким образом, доля населения, не имеющего регулярного автобусного и железнодорожного сообщения, не изменится.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маршрутов, сокращения затраченного на поездку времени, обновления подвижного состава. </w:t>
      </w:r>
    </w:p>
    <w:p w:rsidR="00602623" w:rsidRPr="00A7096F" w:rsidRDefault="00602623" w:rsidP="002A298A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3A71E3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8.</w:t>
      </w:r>
      <w:r w:rsidR="006D427D" w:rsidRPr="003A71E3">
        <w:rPr>
          <w:rFonts w:eastAsia="Times New Roman" w:cs="Times New Roman"/>
          <w:b/>
          <w:szCs w:val="28"/>
          <w:lang w:eastAsia="ru-RU"/>
        </w:rPr>
        <w:t>Среднемесячная номинальная начисленная заработная плата работников:</w:t>
      </w:r>
      <w:r w:rsidR="006D427D" w:rsidRPr="003A71E3">
        <w:t xml:space="preserve"> </w:t>
      </w:r>
      <w:r w:rsidR="006D427D" w:rsidRPr="003A71E3">
        <w:rPr>
          <w:rFonts w:eastAsia="Times New Roman" w:cs="Times New Roman"/>
          <w:b/>
          <w:szCs w:val="28"/>
          <w:lang w:eastAsia="ru-RU"/>
        </w:rPr>
        <w:t>крупных и средних предприятий и некоммерческих организаций</w:t>
      </w:r>
    </w:p>
    <w:p w:rsidR="00773298" w:rsidRPr="00773298" w:rsidRDefault="00773298" w:rsidP="004D280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Одним из основных показателей уровня жизни населения является заработная плата, изменение которой напрямую зависит от социально-экономического развития города. </w:t>
      </w:r>
    </w:p>
    <w:p w:rsidR="00773298" w:rsidRPr="00773298" w:rsidRDefault="00773298" w:rsidP="004D280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3298">
        <w:rPr>
          <w:rFonts w:eastAsia="Times New Roman" w:cs="Times New Roman"/>
          <w:szCs w:val="28"/>
          <w:lang w:eastAsia="ru-RU"/>
        </w:rPr>
        <w:t>За счет развития отдельных производств в реальном секторе экономики, а также мер, принимаемых Правительством РФ по повышению зарплаты в социальной сфере (реализация майских указов Президента РФ, увеличение МРОТ),  среднемесячная заработная плата в целом по г. Астрахани увеличилась и составила 32 934,06  руб. Кроме того, снижение численности работающих косвенно сказалось на росте заработной платы.</w:t>
      </w:r>
      <w:proofErr w:type="gramEnd"/>
    </w:p>
    <w:p w:rsidR="00ED5959" w:rsidRPr="003A71E3" w:rsidRDefault="003A71E3" w:rsidP="004D280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ED5959" w:rsidRPr="003A71E3">
        <w:rPr>
          <w:rFonts w:eastAsia="Times New Roman" w:cs="Times New Roman"/>
          <w:szCs w:val="28"/>
          <w:lang w:eastAsia="ru-RU"/>
        </w:rPr>
        <w:t>реднемесячн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номинальн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заработн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плат</w:t>
      </w:r>
      <w:r>
        <w:rPr>
          <w:rFonts w:eastAsia="Times New Roman" w:cs="Times New Roman"/>
          <w:szCs w:val="28"/>
          <w:lang w:eastAsia="ru-RU"/>
        </w:rPr>
        <w:t>а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работников муниципальных учреждений </w:t>
      </w:r>
      <w:r>
        <w:rPr>
          <w:rFonts w:eastAsia="Times New Roman" w:cs="Times New Roman"/>
          <w:szCs w:val="28"/>
          <w:lang w:eastAsia="ru-RU"/>
        </w:rPr>
        <w:t xml:space="preserve">составила </w:t>
      </w:r>
      <w:r w:rsidR="00ED5959" w:rsidRPr="003A71E3">
        <w:rPr>
          <w:rFonts w:eastAsia="Times New Roman" w:cs="Times New Roman"/>
          <w:szCs w:val="28"/>
          <w:lang w:eastAsia="ru-RU"/>
        </w:rPr>
        <w:t>в сферах:</w:t>
      </w:r>
    </w:p>
    <w:p w:rsidR="00ED5959" w:rsidRPr="003A71E3" w:rsidRDefault="00ED5959" w:rsidP="005C0C24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A71E3">
        <w:rPr>
          <w:rFonts w:eastAsia="Times New Roman" w:cs="Times New Roman"/>
          <w:szCs w:val="28"/>
          <w:lang w:eastAsia="ru-RU"/>
        </w:rPr>
        <w:t>дошкольного образования  –</w:t>
      </w:r>
      <w:r w:rsidR="003A71E3">
        <w:rPr>
          <w:rFonts w:eastAsia="Times New Roman" w:cs="Times New Roman"/>
          <w:szCs w:val="28"/>
          <w:lang w:eastAsia="ru-RU"/>
        </w:rPr>
        <w:t xml:space="preserve"> </w:t>
      </w:r>
      <w:r w:rsidRPr="003A71E3">
        <w:rPr>
          <w:rFonts w:eastAsia="Times New Roman" w:cs="Times New Roman"/>
          <w:szCs w:val="28"/>
          <w:lang w:eastAsia="ru-RU"/>
        </w:rPr>
        <w:t>14</w:t>
      </w:r>
      <w:r w:rsidR="008461ED" w:rsidRPr="003A71E3">
        <w:rPr>
          <w:rFonts w:eastAsia="Times New Roman" w:cs="Times New Roman"/>
          <w:szCs w:val="28"/>
          <w:lang w:eastAsia="ru-RU"/>
        </w:rPr>
        <w:t xml:space="preserve"> </w:t>
      </w:r>
      <w:r w:rsidRPr="003A71E3">
        <w:rPr>
          <w:rFonts w:eastAsia="Times New Roman" w:cs="Times New Roman"/>
          <w:szCs w:val="28"/>
          <w:lang w:eastAsia="ru-RU"/>
        </w:rPr>
        <w:t>8</w:t>
      </w:r>
      <w:r w:rsidR="008461ED" w:rsidRPr="003A71E3">
        <w:rPr>
          <w:rFonts w:eastAsia="Times New Roman" w:cs="Times New Roman"/>
          <w:szCs w:val="28"/>
          <w:lang w:eastAsia="ru-RU"/>
        </w:rPr>
        <w:t>10</w:t>
      </w:r>
      <w:r w:rsidRPr="003A71E3">
        <w:rPr>
          <w:rFonts w:eastAsia="Times New Roman" w:cs="Times New Roman"/>
          <w:szCs w:val="28"/>
          <w:lang w:eastAsia="ru-RU"/>
        </w:rPr>
        <w:t xml:space="preserve">,00 </w:t>
      </w:r>
      <w:proofErr w:type="spellStart"/>
      <w:r w:rsidRPr="003A71E3">
        <w:rPr>
          <w:rFonts w:eastAsia="Times New Roman" w:cs="Times New Roman"/>
          <w:szCs w:val="28"/>
          <w:lang w:eastAsia="ru-RU"/>
        </w:rPr>
        <w:t>руб</w:t>
      </w:r>
      <w:proofErr w:type="spellEnd"/>
      <w:r w:rsidRPr="003A71E3">
        <w:rPr>
          <w:rFonts w:eastAsia="Times New Roman" w:cs="Times New Roman"/>
          <w:szCs w:val="28"/>
          <w:lang w:eastAsia="ru-RU"/>
        </w:rPr>
        <w:t>;</w:t>
      </w:r>
    </w:p>
    <w:p w:rsidR="00ED5959" w:rsidRPr="003A71E3" w:rsidRDefault="008461ED" w:rsidP="005C0C24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A71E3">
        <w:rPr>
          <w:rFonts w:eastAsia="Times New Roman" w:cs="Times New Roman"/>
          <w:szCs w:val="28"/>
          <w:lang w:eastAsia="ru-RU"/>
        </w:rPr>
        <w:t>общего образования –</w:t>
      </w:r>
      <w:r w:rsidR="003A71E3">
        <w:rPr>
          <w:rFonts w:eastAsia="Times New Roman" w:cs="Times New Roman"/>
          <w:szCs w:val="28"/>
          <w:lang w:eastAsia="ru-RU"/>
        </w:rPr>
        <w:t xml:space="preserve"> 24 811,6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руб.;</w:t>
      </w:r>
    </w:p>
    <w:p w:rsidR="00ED5959" w:rsidRPr="003A71E3" w:rsidRDefault="00ED5959" w:rsidP="005C0C24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A71E3">
        <w:rPr>
          <w:rFonts w:eastAsia="Times New Roman" w:cs="Times New Roman"/>
          <w:szCs w:val="28"/>
          <w:lang w:eastAsia="ar-SA"/>
        </w:rPr>
        <w:t>культуры –</w:t>
      </w:r>
      <w:r w:rsidR="003A71E3">
        <w:rPr>
          <w:rFonts w:eastAsia="Times New Roman" w:cs="Times New Roman"/>
          <w:szCs w:val="28"/>
          <w:lang w:eastAsia="ar-SA"/>
        </w:rPr>
        <w:t xml:space="preserve"> </w:t>
      </w:r>
      <w:r w:rsidR="008461ED" w:rsidRPr="003A71E3">
        <w:rPr>
          <w:rFonts w:eastAsia="Times New Roman" w:cs="Times New Roman"/>
          <w:szCs w:val="28"/>
          <w:lang w:eastAsia="ar-SA"/>
        </w:rPr>
        <w:t>17 913,40</w:t>
      </w:r>
      <w:r w:rsidRPr="003A71E3">
        <w:rPr>
          <w:rFonts w:eastAsia="Times New Roman" w:cs="Times New Roman"/>
          <w:szCs w:val="28"/>
          <w:lang w:eastAsia="ar-SA"/>
        </w:rPr>
        <w:t xml:space="preserve"> руб.;</w:t>
      </w:r>
    </w:p>
    <w:p w:rsidR="00ED5959" w:rsidRPr="003A71E3" w:rsidRDefault="00ED5959" w:rsidP="005C0C24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A71E3">
        <w:rPr>
          <w:rFonts w:eastAsia="Times New Roman" w:cs="Times New Roman"/>
          <w:szCs w:val="28"/>
          <w:lang w:eastAsia="ru-RU"/>
        </w:rPr>
        <w:t xml:space="preserve">физической культуры, </w:t>
      </w:r>
      <w:r w:rsidR="008461ED" w:rsidRPr="003A71E3">
        <w:rPr>
          <w:rFonts w:eastAsia="Times New Roman" w:cs="Times New Roman"/>
          <w:szCs w:val="28"/>
          <w:lang w:eastAsia="ru-RU"/>
        </w:rPr>
        <w:t>спорта и охраны здоровья  –  21 506,40</w:t>
      </w:r>
      <w:r w:rsidRPr="003A71E3">
        <w:rPr>
          <w:rFonts w:eastAsia="Times New Roman" w:cs="Times New Roman"/>
          <w:szCs w:val="28"/>
          <w:lang w:eastAsia="ru-RU"/>
        </w:rPr>
        <w:t xml:space="preserve"> руб.</w:t>
      </w:r>
      <w:r w:rsidRPr="003A71E3">
        <w:rPr>
          <w:rFonts w:eastAsia="Times New Roman" w:cs="Times New Roman"/>
          <w:szCs w:val="28"/>
          <w:lang w:eastAsia="ru-RU"/>
        </w:rPr>
        <w:tab/>
        <w:t xml:space="preserve"> </w:t>
      </w:r>
    </w:p>
    <w:p w:rsidR="003A71E3" w:rsidRDefault="003A71E3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Снижение заработной платы в сферах дошкольного и общего школьного образования</w:t>
      </w:r>
      <w:r w:rsidR="00733F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обусловлено недостаточностью бюджетных ассигнований, выделенных в 2016 году из бюджета Астраханской области на </w:t>
      </w:r>
      <w:r w:rsidR="00733FAB" w:rsidRPr="00733FAB">
        <w:rPr>
          <w:rFonts w:eastAsia="Times New Roman" w:cs="Times New Roman"/>
          <w:szCs w:val="28"/>
          <w:lang w:eastAsia="ru-RU"/>
        </w:rPr>
        <w:t>обеспечение государственных гарантий реализации  прав граждан  на получение общедоступного  и бесплатного  дошкольного,  начального общего, основного общего, среднего общего образования в муниципальных общеобразовательных  организациях, обеспечение дополнительного образования детей в муниципальных общеобразовательных организациях, общедоступного  и бесплатного  дошкольного в муниципальных</w:t>
      </w:r>
      <w:proofErr w:type="gramEnd"/>
      <w:r w:rsidR="00733FAB" w:rsidRPr="00733FAB">
        <w:rPr>
          <w:rFonts w:eastAsia="Times New Roman" w:cs="Times New Roman"/>
          <w:szCs w:val="28"/>
          <w:lang w:eastAsia="ru-RU"/>
        </w:rPr>
        <w:t xml:space="preserve"> дошкольных образовательных  </w:t>
      </w:r>
      <w:proofErr w:type="gramStart"/>
      <w:r w:rsidR="00733FAB" w:rsidRPr="00733FAB">
        <w:rPr>
          <w:rFonts w:eastAsia="Times New Roman" w:cs="Times New Roman"/>
          <w:szCs w:val="28"/>
          <w:lang w:eastAsia="ru-RU"/>
        </w:rPr>
        <w:t>организациях</w:t>
      </w:r>
      <w:proofErr w:type="gramEnd"/>
      <w:r w:rsidR="00733FAB">
        <w:rPr>
          <w:rFonts w:eastAsia="Times New Roman" w:cs="Times New Roman"/>
          <w:szCs w:val="28"/>
          <w:lang w:eastAsia="ru-RU"/>
        </w:rPr>
        <w:t xml:space="preserve">. </w:t>
      </w:r>
      <w:r w:rsidR="00733FAB" w:rsidRPr="00733FAB">
        <w:rPr>
          <w:rFonts w:eastAsia="Times New Roman" w:cs="Times New Roman"/>
          <w:szCs w:val="28"/>
          <w:lang w:eastAsia="ru-RU"/>
        </w:rPr>
        <w:t>Снижение заработной платы в сфер</w:t>
      </w:r>
      <w:r w:rsidR="00733FAB">
        <w:rPr>
          <w:rFonts w:eastAsia="Times New Roman" w:cs="Times New Roman"/>
          <w:szCs w:val="28"/>
          <w:lang w:eastAsia="ru-RU"/>
        </w:rPr>
        <w:t>е культуры связано с отсутствием дополнительных лимитов бюджета муниципального образования «Город Астрахань» на исполнение федерального законодательства в части повышения МРОТ.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В плановом периоде будет продолжена работа по исполнению Указа Президента Российской Федерации от 07.05.2012 №597 «О мероприятиях по реализации государственной социальной политики» по  доведению среднемесячной заработной  платы работников бюджетных  учреждений в сфере образования 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до</w:t>
      </w:r>
      <w:proofErr w:type="gramEnd"/>
      <w:r w:rsidRPr="00773298">
        <w:rPr>
          <w:rFonts w:eastAsia="Times New Roman" w:cs="Times New Roman"/>
          <w:szCs w:val="28"/>
          <w:lang w:eastAsia="ru-RU"/>
        </w:rPr>
        <w:t xml:space="preserve"> средней по  региону. Кроме того, с 1 июля 2017 года планируется повысить МРОТ до 7 800 рублей.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К концу 2019 года среднемесячная номинальная начисленная заработная плата работников крупных и средних предприятий и некоммерческих организаций  планируемо увеличится до 33 132,39 руб.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3298">
        <w:rPr>
          <w:rFonts w:eastAsia="Times New Roman" w:cs="Times New Roman"/>
          <w:szCs w:val="28"/>
          <w:lang w:eastAsia="ru-RU"/>
        </w:rPr>
        <w:t xml:space="preserve">В большей степени среднемесячная зарплата вырастет в таких видах деятельности, как добыча полезных ископаемых, обрабатывающие производства, строительство, операции с недвижимым имуществом за счет реализации на территории города инвестиционных проектов по развитию действующих производств: обустройства  месторождения им.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Филановского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, заключение государственных контрактов филиалом АО ЦС </w:t>
      </w:r>
      <w:r w:rsidR="00595114">
        <w:rPr>
          <w:rFonts w:eastAsia="Times New Roman" w:cs="Times New Roman"/>
          <w:szCs w:val="28"/>
          <w:lang w:eastAsia="ru-RU"/>
        </w:rPr>
        <w:t>«</w:t>
      </w:r>
      <w:r w:rsidRPr="00773298">
        <w:rPr>
          <w:rFonts w:eastAsia="Times New Roman" w:cs="Times New Roman"/>
          <w:szCs w:val="28"/>
          <w:lang w:eastAsia="ru-RU"/>
        </w:rPr>
        <w:t>Звездочка</w:t>
      </w:r>
      <w:r w:rsidR="00595114">
        <w:rPr>
          <w:rFonts w:eastAsia="Times New Roman" w:cs="Times New Roman"/>
          <w:szCs w:val="28"/>
          <w:lang w:eastAsia="ru-RU"/>
        </w:rPr>
        <w:t>» «</w:t>
      </w:r>
      <w:r w:rsidRPr="00773298">
        <w:rPr>
          <w:rFonts w:eastAsia="Times New Roman" w:cs="Times New Roman"/>
          <w:szCs w:val="28"/>
          <w:lang w:eastAsia="ru-RU"/>
        </w:rPr>
        <w:t>Астраханский судоремонтный завод</w:t>
      </w:r>
      <w:r w:rsidR="00595114">
        <w:rPr>
          <w:rFonts w:eastAsia="Times New Roman" w:cs="Times New Roman"/>
          <w:szCs w:val="28"/>
          <w:lang w:eastAsia="ru-RU"/>
        </w:rPr>
        <w:t>»</w:t>
      </w:r>
      <w:r w:rsidRPr="00773298">
        <w:rPr>
          <w:rFonts w:eastAsia="Times New Roman" w:cs="Times New Roman"/>
          <w:szCs w:val="28"/>
          <w:lang w:eastAsia="ru-RU"/>
        </w:rPr>
        <w:t xml:space="preserve"> с министерством обороны Российской Федерации, модернизация и оптимизация производственного процесса среднего и капитального</w:t>
      </w:r>
      <w:proofErr w:type="gramEnd"/>
      <w:r w:rsidRPr="00773298">
        <w:rPr>
          <w:rFonts w:eastAsia="Times New Roman" w:cs="Times New Roman"/>
          <w:szCs w:val="28"/>
          <w:lang w:eastAsia="ru-RU"/>
        </w:rPr>
        <w:t xml:space="preserve"> ремонта тепловозов на АТРЗ филиала ОАО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Желдорреммаш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>», модернизация производств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а ООО</w:t>
      </w:r>
      <w:proofErr w:type="gramEnd"/>
      <w:r w:rsidRPr="00773298">
        <w:rPr>
          <w:rFonts w:eastAsia="Times New Roman" w:cs="Times New Roman"/>
          <w:szCs w:val="28"/>
          <w:lang w:eastAsia="ru-RU"/>
        </w:rPr>
        <w:t xml:space="preserve"> «Астраханская консервная компания», реконструкция порта ООО «Альфа Порт». </w:t>
      </w:r>
    </w:p>
    <w:p w:rsidR="00D229D3" w:rsidRPr="00A7096F" w:rsidRDefault="00D229D3" w:rsidP="00CB79F3">
      <w:pPr>
        <w:tabs>
          <w:tab w:val="left" w:pos="709"/>
        </w:tabs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E27" w:rsidRPr="00637FB4" w:rsidRDefault="00515E27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Дошкольное образование</w:t>
      </w:r>
    </w:p>
    <w:p w:rsidR="00602623" w:rsidRPr="00637FB4" w:rsidRDefault="00602623" w:rsidP="002A298A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0066" w:rsidRPr="00637FB4" w:rsidRDefault="005C0C2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highlight w:val="lightGray"/>
          <w:lang w:val="x-none" w:eastAsia="ru-RU"/>
        </w:rPr>
      </w:pPr>
      <w:r>
        <w:rPr>
          <w:rFonts w:eastAsia="Times New Roman" w:cs="Times New Roman"/>
          <w:b/>
          <w:bCs/>
          <w:szCs w:val="28"/>
          <w:lang w:val="x-none" w:eastAsia="ru-RU"/>
        </w:rPr>
        <w:t>9.</w:t>
      </w:r>
      <w:r w:rsidR="00750066" w:rsidRPr="00637FB4">
        <w:rPr>
          <w:rFonts w:eastAsia="Times New Roman" w:cs="Times New Roman"/>
          <w:b/>
          <w:bCs/>
          <w:szCs w:val="28"/>
          <w:lang w:val="x-none"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</w:t>
      </w:r>
      <w:r w:rsidR="00750066" w:rsidRPr="00637FB4">
        <w:rPr>
          <w:rFonts w:eastAsia="Times New Roman" w:cs="Times New Roman"/>
          <w:b/>
          <w:bCs/>
          <w:szCs w:val="28"/>
          <w:lang w:eastAsia="ru-RU"/>
        </w:rPr>
        <w:t>-</w:t>
      </w:r>
      <w:r w:rsidR="00750066" w:rsidRPr="00637FB4">
        <w:rPr>
          <w:rFonts w:eastAsia="Times New Roman" w:cs="Times New Roman"/>
          <w:b/>
          <w:bCs/>
          <w:szCs w:val="28"/>
          <w:lang w:val="x-none" w:eastAsia="ru-RU"/>
        </w:rPr>
        <w:t>6 лет.</w:t>
      </w:r>
    </w:p>
    <w:p w:rsidR="00637FB4" w:rsidRPr="00637FB4" w:rsidRDefault="00637FB4" w:rsidP="004D2808">
      <w:pPr>
        <w:ind w:firstLine="709"/>
        <w:jc w:val="both"/>
        <w:rPr>
          <w:rFonts w:eastAsia="Calibri" w:cs="Times New Roman"/>
          <w:szCs w:val="28"/>
        </w:rPr>
      </w:pPr>
      <w:r w:rsidRPr="00637FB4">
        <w:rPr>
          <w:rFonts w:eastAsia="Times New Roman" w:cs="Times New Roman"/>
          <w:szCs w:val="28"/>
          <w:lang w:eastAsia="ru-RU"/>
        </w:rPr>
        <w:t xml:space="preserve">В целях увеличения числа мест дошкольного образования в 2016 году </w:t>
      </w:r>
      <w:r w:rsidRPr="00637FB4">
        <w:rPr>
          <w:rFonts w:eastAsia="Calibri" w:cs="Times New Roman"/>
          <w:szCs w:val="28"/>
        </w:rPr>
        <w:t>продолжается планомерная работа по модернизации муниципальной системы дошкольного образования:</w:t>
      </w:r>
    </w:p>
    <w:p w:rsidR="00637FB4" w:rsidRPr="00427CA7" w:rsidRDefault="00637FB4" w:rsidP="004D2808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427CA7">
        <w:rPr>
          <w:rFonts w:eastAsia="Calibri" w:cs="Times New Roman"/>
          <w:szCs w:val="28"/>
        </w:rPr>
        <w:t>после капитального ремонта и оснащения возобновлена деятельность детского сада, являющегося  структурным подразделением  СОШ №57, для воспитанников в возрасте от 2 до 7 лет;</w:t>
      </w:r>
    </w:p>
    <w:p w:rsidR="00637FB4" w:rsidRPr="00427CA7" w:rsidRDefault="00637FB4" w:rsidP="004D2808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427CA7">
        <w:rPr>
          <w:rFonts w:eastAsia="Calibri" w:cs="Times New Roman"/>
          <w:szCs w:val="28"/>
        </w:rPr>
        <w:t>обеспечено функционирование детского сада №80 в Кировском районе.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bCs/>
          <w:szCs w:val="28"/>
          <w:lang w:eastAsia="ru-RU"/>
        </w:rPr>
        <w:t xml:space="preserve">Таким образом, в отчетном году доля детей в возрасте 1-6 лет, </w:t>
      </w:r>
      <w:r w:rsidRPr="00637FB4">
        <w:rPr>
          <w:rFonts w:eastAsia="Times New Roman" w:cs="Times New Roman"/>
          <w:szCs w:val="28"/>
          <w:lang w:eastAsia="ru-RU"/>
        </w:rPr>
        <w:t>получающих дошкольную образовательную услугу в муниципальных образовательных учреждениях, увеличилась по сравнению с 2015 годом (61,74%) и составила 61,92 %.</w:t>
      </w:r>
    </w:p>
    <w:p w:rsidR="00637FB4" w:rsidRPr="00637FB4" w:rsidRDefault="00637FB4" w:rsidP="004D2808">
      <w:pPr>
        <w:ind w:firstLine="709"/>
        <w:jc w:val="both"/>
        <w:rPr>
          <w:rFonts w:eastAsia="Calibri" w:cs="Times New Roman"/>
          <w:szCs w:val="28"/>
        </w:rPr>
      </w:pPr>
      <w:r w:rsidRPr="00637FB4">
        <w:rPr>
          <w:rFonts w:eastAsia="Calibri" w:cs="Times New Roman"/>
          <w:szCs w:val="28"/>
        </w:rPr>
        <w:t xml:space="preserve">В 2017-2019 годах планируется ввести в эксплуатацию построенный детский сад в микрорайоне Бабаевского и создать дополнительные места для детей дошкольного возраста. </w:t>
      </w:r>
      <w:r w:rsidRPr="00637FB4">
        <w:rPr>
          <w:rFonts w:eastAsia="Times New Roman" w:cs="Times New Roman"/>
          <w:szCs w:val="28"/>
          <w:lang w:eastAsia="ru-RU"/>
        </w:rPr>
        <w:t xml:space="preserve">Однако, </w:t>
      </w:r>
      <w:r w:rsidRPr="00637FB4">
        <w:rPr>
          <w:rFonts w:eastAsia="Times New Roman" w:cs="Times New Roman"/>
          <w:bCs/>
          <w:szCs w:val="28"/>
          <w:lang w:eastAsia="ru-RU"/>
        </w:rPr>
        <w:t xml:space="preserve">доля детей в возрасте 1-6 лет, </w:t>
      </w:r>
      <w:r w:rsidRPr="00637FB4">
        <w:rPr>
          <w:rFonts w:eastAsia="Times New Roman" w:cs="Times New Roman"/>
          <w:szCs w:val="28"/>
          <w:lang w:eastAsia="ru-RU"/>
        </w:rPr>
        <w:t>получающих дошкольную образовательную услугу в муниципальных образовательных учреждениях, к 2019 году снизится и составит 58,23% в связи с ростом общей численности детей на территории муниципального образования «Город Астрахань».</w:t>
      </w:r>
    </w:p>
    <w:p w:rsidR="00070047" w:rsidRPr="00637FB4" w:rsidRDefault="00070047" w:rsidP="002A298A">
      <w:pPr>
        <w:tabs>
          <w:tab w:val="num" w:pos="-1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B0E1B" w:rsidRPr="00637FB4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10.</w:t>
      </w:r>
      <w:r w:rsidR="007B0E1B" w:rsidRPr="00637FB4">
        <w:rPr>
          <w:rFonts w:eastAsia="Times New Roman" w:cs="Times New Roman"/>
          <w:b/>
          <w:szCs w:val="28"/>
          <w:lang w:eastAsia="ru-RU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lang w:eastAsia="ru-RU"/>
        </w:rPr>
        <w:t xml:space="preserve">В 2016 году доля детей, состоящих на учете для определения в муниципальные дошкольные образовательные учреждения, уменьшилась по сравнению с 2015 годом (25,22%) и составила 24,99% в общей численности детей в возрасте 1-6 лет. </w:t>
      </w:r>
      <w:r w:rsidRPr="00637FB4">
        <w:rPr>
          <w:rFonts w:eastAsia="Times New Roman" w:cs="Times New Roman"/>
          <w:szCs w:val="32"/>
          <w:lang w:eastAsia="ru-RU"/>
        </w:rPr>
        <w:t xml:space="preserve">Снижение данного показателя произошло за счет </w:t>
      </w:r>
      <w:r w:rsidRPr="00637FB4">
        <w:rPr>
          <w:rFonts w:eastAsia="Times New Roman" w:cs="Times New Roman"/>
          <w:szCs w:val="28"/>
          <w:lang w:eastAsia="ru-RU"/>
        </w:rPr>
        <w:t>реализации комплекса мер, направленных на увеличение мощности сети муниципальных образовательных учреждений, реализующих основную общеобразовательную программу дошкольного образования.</w:t>
      </w:r>
    </w:p>
    <w:p w:rsidR="00637FB4" w:rsidRDefault="00637FB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7FB4">
        <w:rPr>
          <w:rFonts w:eastAsia="Times New Roman" w:cs="Times New Roman"/>
          <w:bCs/>
          <w:szCs w:val="32"/>
          <w:lang w:val="x-none" w:eastAsia="ru-RU"/>
        </w:rPr>
        <w:t xml:space="preserve">В </w:t>
      </w:r>
      <w:r w:rsidRPr="00637FB4">
        <w:rPr>
          <w:rFonts w:eastAsia="Times New Roman" w:cs="Times New Roman"/>
          <w:bCs/>
          <w:szCs w:val="32"/>
          <w:lang w:eastAsia="ru-RU"/>
        </w:rPr>
        <w:t xml:space="preserve">период с </w:t>
      </w:r>
      <w:r w:rsidRPr="00637FB4">
        <w:rPr>
          <w:rFonts w:eastAsia="Times New Roman" w:cs="Times New Roman"/>
          <w:bCs/>
          <w:szCs w:val="32"/>
          <w:lang w:val="x-none" w:eastAsia="ru-RU"/>
        </w:rPr>
        <w:t>201</w:t>
      </w:r>
      <w:r w:rsidRPr="00637FB4">
        <w:rPr>
          <w:rFonts w:eastAsia="Times New Roman" w:cs="Times New Roman"/>
          <w:bCs/>
          <w:szCs w:val="32"/>
          <w:lang w:eastAsia="ru-RU"/>
        </w:rPr>
        <w:t>7</w:t>
      </w:r>
      <w:r w:rsidRPr="00637FB4">
        <w:rPr>
          <w:rFonts w:eastAsia="Times New Roman" w:cs="Times New Roman"/>
          <w:bCs/>
          <w:szCs w:val="32"/>
          <w:lang w:val="x-none" w:eastAsia="ru-RU"/>
        </w:rPr>
        <w:t xml:space="preserve"> </w:t>
      </w:r>
      <w:r w:rsidRPr="00637FB4">
        <w:rPr>
          <w:rFonts w:eastAsia="Times New Roman" w:cs="Times New Roman"/>
          <w:bCs/>
          <w:szCs w:val="32"/>
          <w:lang w:eastAsia="ru-RU"/>
        </w:rPr>
        <w:t>до 2019 года</w:t>
      </w:r>
      <w:r w:rsidRPr="00637FB4">
        <w:rPr>
          <w:rFonts w:eastAsia="Times New Roman" w:cs="Times New Roman"/>
          <w:bCs/>
          <w:szCs w:val="32"/>
          <w:lang w:val="x-none" w:eastAsia="ru-RU"/>
        </w:rPr>
        <w:t xml:space="preserve"> прогнозируется </w:t>
      </w:r>
      <w:r w:rsidRPr="00637FB4">
        <w:rPr>
          <w:rFonts w:eastAsia="Times New Roman" w:cs="Times New Roman"/>
          <w:bCs/>
          <w:szCs w:val="32"/>
          <w:lang w:eastAsia="ru-RU"/>
        </w:rPr>
        <w:t>также снижение данного показателя до 22,14% за счет создания дополнительных мест для детей дошкольного возраста.</w:t>
      </w:r>
      <w:r w:rsidRPr="00637FB4">
        <w:rPr>
          <w:rFonts w:eastAsia="Times New Roman" w:cs="Times New Roman"/>
          <w:b/>
          <w:bCs/>
          <w:szCs w:val="28"/>
          <w:lang w:eastAsia="ru-RU"/>
        </w:rPr>
        <w:tab/>
      </w:r>
    </w:p>
    <w:p w:rsidR="004D2808" w:rsidRPr="00637FB4" w:rsidRDefault="004D2808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637FB4" w:rsidRDefault="005C0C2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szCs w:val="28"/>
          <w:lang w:val="x-none" w:eastAsia="ru-RU"/>
        </w:rPr>
      </w:pPr>
      <w:r>
        <w:rPr>
          <w:rFonts w:eastAsia="Times New Roman" w:cs="Times New Roman"/>
          <w:b/>
          <w:bCs/>
          <w:szCs w:val="28"/>
          <w:lang w:val="x-none" w:eastAsia="ru-RU"/>
        </w:rPr>
        <w:t>11.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числе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 xml:space="preserve"> муниципальных дошкольных 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образовательных 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>учреждений.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  <w:r w:rsidRPr="00637FB4">
        <w:rPr>
          <w:rFonts w:eastAsia="Times New Roman"/>
          <w:szCs w:val="28"/>
          <w:lang w:eastAsia="ru-RU"/>
        </w:rPr>
        <w:t>Оказание качественных услуг дошкольного образования возможно только при наличии зданий и сооружений детских садов, соответствующих современным требованиям государственных стандартов, норм и правил.</w:t>
      </w:r>
    </w:p>
    <w:p w:rsidR="00637FB4" w:rsidRDefault="00637FB4" w:rsidP="004D2808">
      <w:pPr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 xml:space="preserve">Доля муниципальных дошкольных </w:t>
      </w:r>
      <w:r>
        <w:rPr>
          <w:rFonts w:eastAsia="Times New Roman"/>
          <w:szCs w:val="28"/>
          <w:lang w:eastAsia="ru-RU"/>
        </w:rPr>
        <w:t>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отчетном году уменьшилась и достигла 2,86% (в 2015 г. -</w:t>
      </w:r>
      <w:r w:rsidR="0059511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5,10%).</w:t>
      </w:r>
    </w:p>
    <w:p w:rsidR="00637FB4" w:rsidRDefault="00637FB4" w:rsidP="004D2808">
      <w:pPr>
        <w:snapToGrid w:val="0"/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Такая позитивная динамика обусловлена следующими факторами:</w:t>
      </w:r>
    </w:p>
    <w:p w:rsidR="00637FB4" w:rsidRPr="00427CA7" w:rsidRDefault="00637FB4" w:rsidP="004D2808">
      <w:pPr>
        <w:pStyle w:val="aa"/>
        <w:numPr>
          <w:ilvl w:val="0"/>
          <w:numId w:val="27"/>
        </w:numPr>
        <w:tabs>
          <w:tab w:val="left" w:pos="993"/>
        </w:tabs>
        <w:spacing w:line="240" w:lineRule="atLeast"/>
        <w:ind w:left="0" w:firstLine="709"/>
        <w:jc w:val="both"/>
        <w:rPr>
          <w:rFonts w:eastAsia="Times New Roman"/>
          <w:szCs w:val="28"/>
          <w:lang w:eastAsia="ru-RU"/>
        </w:rPr>
      </w:pPr>
      <w:r w:rsidRPr="00427CA7">
        <w:rPr>
          <w:rFonts w:eastAsia="Times New Roman"/>
          <w:szCs w:val="28"/>
          <w:lang w:eastAsia="ru-RU"/>
        </w:rPr>
        <w:t>отсутствие муниципальных дошкольных образовательных организаций, здания которых находятся в аварийном состоянии, в связи с ликвидацией детского сада компенсирующего вида №43 в отчетном году;</w:t>
      </w:r>
    </w:p>
    <w:p w:rsidR="00637FB4" w:rsidRPr="00637FB4" w:rsidRDefault="00637FB4" w:rsidP="004D2808">
      <w:pPr>
        <w:pStyle w:val="aa"/>
        <w:numPr>
          <w:ilvl w:val="0"/>
          <w:numId w:val="27"/>
        </w:numPr>
        <w:tabs>
          <w:tab w:val="left" w:pos="993"/>
        </w:tabs>
        <w:spacing w:line="240" w:lineRule="atLeast"/>
        <w:ind w:left="0" w:firstLine="709"/>
        <w:jc w:val="both"/>
        <w:rPr>
          <w:rFonts w:eastAsia="Calibri"/>
          <w:szCs w:val="28"/>
        </w:rPr>
      </w:pPr>
      <w:r w:rsidRPr="00637FB4">
        <w:rPr>
          <w:szCs w:val="28"/>
        </w:rPr>
        <w:t xml:space="preserve">снижение числа </w:t>
      </w:r>
      <w:r w:rsidRPr="00637FB4">
        <w:rPr>
          <w:rFonts w:eastAsia="Times New Roman"/>
          <w:szCs w:val="28"/>
          <w:lang w:eastAsia="ru-RU"/>
        </w:rPr>
        <w:t>муниципальных дошкольных образовательных организаций, здания которых требуют капитального ремонта, на одну единицу в 2016 году (2015 г.- 4) за счет проведения капитального ремонта здания детского сада №9.</w:t>
      </w:r>
    </w:p>
    <w:p w:rsidR="00637FB4" w:rsidRDefault="00637FB4" w:rsidP="004D2808">
      <w:pPr>
        <w:snapToGrid w:val="0"/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>Количество муниципальных дошкольных образовательных организаций, здания которых требуют капитального ремонта, в отчетном</w:t>
      </w:r>
      <w:r>
        <w:rPr>
          <w:rFonts w:eastAsia="Times New Roman"/>
          <w:szCs w:val="28"/>
          <w:lang w:eastAsia="ru-RU"/>
        </w:rPr>
        <w:t xml:space="preserve"> году составило 3 единицы – детские сады №1, 30, 116.</w:t>
      </w:r>
    </w:p>
    <w:p w:rsidR="00637FB4" w:rsidRDefault="00637FB4" w:rsidP="004D2808">
      <w:pPr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2018 г</w:t>
      </w:r>
      <w:r w:rsidR="00595114">
        <w:rPr>
          <w:rFonts w:eastAsia="Times New Roman"/>
          <w:szCs w:val="28"/>
          <w:lang w:eastAsia="ru-RU"/>
        </w:rPr>
        <w:t>оду</w:t>
      </w:r>
      <w:r>
        <w:rPr>
          <w:rFonts w:eastAsia="Times New Roman"/>
          <w:szCs w:val="28"/>
          <w:lang w:eastAsia="ru-RU"/>
        </w:rPr>
        <w:t xml:space="preserve"> прогнозируется проведение ремонта детского сада №116, в 2019 г</w:t>
      </w:r>
      <w:r w:rsidR="00595114">
        <w:rPr>
          <w:rFonts w:eastAsia="Times New Roman"/>
          <w:szCs w:val="28"/>
          <w:lang w:eastAsia="ru-RU"/>
        </w:rPr>
        <w:t>оду</w:t>
      </w:r>
      <w:r>
        <w:rPr>
          <w:rFonts w:eastAsia="Times New Roman"/>
          <w:szCs w:val="28"/>
          <w:lang w:eastAsia="ru-RU"/>
        </w:rPr>
        <w:t xml:space="preserve"> – детского сада №1. Таким образом, </w:t>
      </w:r>
      <w:r w:rsidR="00595114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2019 году долю муниципальных дошкольных образовательных учреждений, здания которых находятся в аварийном состоянии или требует капитального ремонта, в общем числе муниципальных дошкольных образовательных учреждений планируется уменьшить до 0,95%.</w:t>
      </w:r>
    </w:p>
    <w:p w:rsidR="00637FB4" w:rsidRDefault="00637FB4" w:rsidP="004D2808">
      <w:pPr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обеспечения положительной динамики показателей эффективности администрацией города разработана подпрограмма «Строительство, реконструкция и капитальный ремонт объектов образования города Астрахани», вошедшая в муниципальную программу «Развитие системы образования МО «Город Астрахань».</w:t>
      </w:r>
    </w:p>
    <w:p w:rsidR="00637FB4" w:rsidRDefault="00637FB4" w:rsidP="00637FB4">
      <w:pPr>
        <w:ind w:firstLine="720"/>
        <w:jc w:val="center"/>
        <w:rPr>
          <w:rFonts w:eastAsia="Times New Roman"/>
          <w:b/>
          <w:bCs/>
          <w:color w:val="548DD4" w:themeColor="text2" w:themeTint="99"/>
          <w:szCs w:val="28"/>
          <w:lang w:eastAsia="ru-RU"/>
        </w:rPr>
      </w:pPr>
    </w:p>
    <w:p w:rsidR="00515E27" w:rsidRPr="00637FB4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Общее и дополнительное образование</w:t>
      </w:r>
    </w:p>
    <w:p w:rsidR="00515E27" w:rsidRPr="00637FB4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7B0E1B" w:rsidRPr="00773298" w:rsidRDefault="007B0E1B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b/>
          <w:bCs/>
          <w:szCs w:val="28"/>
          <w:lang w:eastAsia="ru-RU"/>
        </w:rPr>
        <w:t>12.</w:t>
      </w:r>
      <w:r w:rsidR="00773298" w:rsidRPr="00773298">
        <w:rPr>
          <w:rFonts w:eastAsia="Times New Roman" w:cs="Times New Roman"/>
          <w:b/>
          <w:bCs/>
          <w:szCs w:val="28"/>
          <w:lang w:eastAsia="ru-RU"/>
        </w:rPr>
        <w:t>Утратил силу</w:t>
      </w:r>
    </w:p>
    <w:p w:rsidR="00336889" w:rsidRPr="00637FB4" w:rsidRDefault="00336889" w:rsidP="002A298A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7B0E1B" w:rsidRPr="00637FB4" w:rsidRDefault="007B0E1B" w:rsidP="004D280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7FB4">
        <w:rPr>
          <w:rFonts w:eastAsia="Times New Roman" w:cs="Times New Roman"/>
          <w:b/>
          <w:bCs/>
          <w:szCs w:val="28"/>
          <w:lang w:eastAsia="ru-RU"/>
        </w:rPr>
        <w:t>13.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637FB4" w:rsidRPr="00637FB4" w:rsidRDefault="00637FB4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lang w:eastAsia="ru-RU"/>
        </w:rPr>
        <w:t>Численность обучающихся выпускных классов муниципальных общеобразовательных учреждений, не получивших аттестат о среднем (полном) общем образовании, в 2016 году составила 53 человека или 3,13% от общей численности выпускников.</w:t>
      </w:r>
    </w:p>
    <w:p w:rsidR="00637FB4" w:rsidRPr="00637FB4" w:rsidRDefault="00637FB4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637FB4">
        <w:rPr>
          <w:rFonts w:eastAsia="Times New Roman" w:cs="Times New Roman"/>
          <w:szCs w:val="28"/>
          <w:lang w:eastAsia="ru-RU"/>
        </w:rPr>
        <w:t>В связи с изменением методики расчета оценки эффективности деятельности по данному показателю, в 2016 году в части учета численности выпускников открытых общеобразовательных школ в общей численности выпускников</w:t>
      </w:r>
      <w:r w:rsidRPr="00637FB4">
        <w:rPr>
          <w:rFonts w:eastAsia="Times New Roman" w:cs="Times New Roman"/>
          <w:bCs/>
          <w:szCs w:val="28"/>
          <w:lang w:eastAsia="ru-RU"/>
        </w:rPr>
        <w:t xml:space="preserve">, не получивших аттестат о среднем общем образовании, значения показателей, внесенных в отчет 2015 года (без учета </w:t>
      </w:r>
      <w:r w:rsidRPr="00637FB4">
        <w:rPr>
          <w:rFonts w:eastAsia="Times New Roman" w:cs="Times New Roman"/>
          <w:szCs w:val="28"/>
          <w:lang w:eastAsia="ru-RU"/>
        </w:rPr>
        <w:t>выпускников открытых общеобразовательных школ)</w:t>
      </w:r>
      <w:r w:rsidRPr="00637FB4">
        <w:rPr>
          <w:rFonts w:eastAsia="Times New Roman" w:cs="Times New Roman"/>
          <w:bCs/>
          <w:szCs w:val="28"/>
          <w:lang w:eastAsia="ru-RU"/>
        </w:rPr>
        <w:t xml:space="preserve"> и 2016 года не коррелируются.</w:t>
      </w:r>
      <w:proofErr w:type="gramEnd"/>
    </w:p>
    <w:p w:rsidR="00637FB4" w:rsidRPr="00637FB4" w:rsidRDefault="00637FB4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37FB4">
        <w:rPr>
          <w:rFonts w:eastAsia="Times New Roman" w:cs="Times New Roman"/>
          <w:bCs/>
          <w:szCs w:val="28"/>
          <w:lang w:eastAsia="ru-RU"/>
        </w:rPr>
        <w:t xml:space="preserve">Вместе с тем, в 2015 году доля выпускников </w:t>
      </w:r>
      <w:r w:rsidRPr="00637FB4">
        <w:rPr>
          <w:rFonts w:eastAsia="Times New Roman" w:cs="Times New Roman"/>
          <w:szCs w:val="28"/>
          <w:lang w:eastAsia="ru-RU"/>
        </w:rPr>
        <w:t xml:space="preserve">муниципальных общеобразовательных учреждений, не получивших аттестат о среднем общем образовании, с учетом выпускников открытых общеобразовательных школ, составила - 4,50%. Таким образом, в отчетном году наблюдается положительная динамика увеличения доли выпускников </w:t>
      </w:r>
      <w:r w:rsidRPr="00637FB4">
        <w:rPr>
          <w:rFonts w:eastAsia="Times New Roman" w:cs="Times New Roman"/>
          <w:bCs/>
          <w:szCs w:val="28"/>
          <w:lang w:eastAsia="ru-RU"/>
        </w:rPr>
        <w:t xml:space="preserve">муниципальных общеобразовательных учреждений, освоивших образовательные программы среднего общего образования, на 1,37 </w:t>
      </w:r>
      <w:proofErr w:type="spellStart"/>
      <w:r w:rsidRPr="00637FB4">
        <w:rPr>
          <w:rFonts w:eastAsia="Times New Roman" w:cs="Times New Roman"/>
          <w:bCs/>
          <w:szCs w:val="28"/>
          <w:lang w:eastAsia="ru-RU"/>
        </w:rPr>
        <w:t>п.п</w:t>
      </w:r>
      <w:proofErr w:type="spellEnd"/>
      <w:r w:rsidRPr="00637FB4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637FB4" w:rsidRDefault="00F06745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637FB4" w:rsidRPr="00637FB4">
        <w:rPr>
          <w:rFonts w:eastAsia="Times New Roman" w:cs="Times New Roman"/>
          <w:color w:val="000000" w:themeColor="text1"/>
          <w:szCs w:val="28"/>
          <w:lang w:eastAsia="ru-RU"/>
        </w:rPr>
        <w:t xml:space="preserve"> 2019</w:t>
      </w:r>
      <w:r w:rsidR="00637FB4" w:rsidRPr="00637FB4">
        <w:rPr>
          <w:rFonts w:eastAsia="Times New Roman" w:cs="Times New Roman"/>
          <w:szCs w:val="28"/>
          <w:lang w:eastAsia="ru-RU"/>
        </w:rPr>
        <w:t xml:space="preserve"> году значение показателя планируется уменьшить до 2,43%, реализуя мероприятия, направленные на повышение эффективности образования: проведение индивидуальных и групповых консультаций с выпускниками, находящимися в зоне риска получения отрицательных результатов на выпускных экзаменах, организация работы с целевыми группами обучающихся выпускных классов по обязательным предметам и предметам по выбору на параллели 10, 11 классов (реализация программ элективных курсов для групп обучающихся</w:t>
      </w:r>
      <w:proofErr w:type="gramEnd"/>
      <w:r w:rsidR="00637FB4" w:rsidRPr="00637FB4">
        <w:rPr>
          <w:rFonts w:eastAsia="Times New Roman" w:cs="Times New Roman"/>
          <w:szCs w:val="28"/>
          <w:lang w:eastAsia="ru-RU"/>
        </w:rPr>
        <w:t xml:space="preserve"> в рамках подготовки к государственной итоговой аттестации).</w:t>
      </w:r>
    </w:p>
    <w:p w:rsidR="00413B38" w:rsidRPr="00637FB4" w:rsidRDefault="00413B38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0066" w:rsidRPr="00637FB4" w:rsidRDefault="005C0C24" w:rsidP="004D2808">
      <w:pPr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14.</w:t>
      </w:r>
      <w:r w:rsidR="00750066" w:rsidRPr="00637FB4">
        <w:rPr>
          <w:rFonts w:eastAsia="Times New Roman" w:cs="Times New Roman"/>
          <w:b/>
          <w:bCs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 w:rsidR="00750066" w:rsidRPr="00637FB4">
        <w:rPr>
          <w:rFonts w:ascii="Courier New" w:eastAsia="Times New Roman" w:hAnsi="Courier New" w:cs="Courier New"/>
          <w:b/>
          <w:szCs w:val="28"/>
          <w:lang w:eastAsia="ru-RU"/>
        </w:rPr>
        <w:t xml:space="preserve"> 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 xml:space="preserve">В 2016 году доля муниципальных общеобразовательных учреждений, соответствующих современным требованиям обучения уменьшилась на 5,86 </w:t>
      </w:r>
      <w:proofErr w:type="spellStart"/>
      <w:r w:rsidRPr="00637FB4">
        <w:rPr>
          <w:rFonts w:eastAsia="Times New Roman"/>
          <w:szCs w:val="28"/>
          <w:lang w:eastAsia="ru-RU"/>
        </w:rPr>
        <w:t>п.п</w:t>
      </w:r>
      <w:proofErr w:type="spellEnd"/>
      <w:r w:rsidRPr="00637FB4">
        <w:rPr>
          <w:rFonts w:eastAsia="Times New Roman"/>
          <w:szCs w:val="28"/>
          <w:lang w:eastAsia="ru-RU"/>
        </w:rPr>
        <w:t xml:space="preserve">. и составила 80,33% от общего количества муниципальных общеобразовательных учреждений. 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>Уменьшение показателя произошло в связи с изменениями указаний по заполнению Формы № ОО-2 федерального статистического наблюдения «Сведения о материально - технической и информационной базе, финансово-экономической деятельности общеобразовательной организации за 2016 год».</w:t>
      </w:r>
    </w:p>
    <w:p w:rsidR="00637FB4" w:rsidRDefault="00637FB4" w:rsidP="004D2808">
      <w:pPr>
        <w:spacing w:line="322" w:lineRule="exact"/>
        <w:ind w:left="20" w:right="20"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pacing w:val="7"/>
          <w:szCs w:val="28"/>
          <w:lang w:eastAsia="ru-RU"/>
        </w:rPr>
        <w:t xml:space="preserve">Муниципальные общеобразовательные </w:t>
      </w:r>
      <w:r>
        <w:rPr>
          <w:rFonts w:eastAsia="Times New Roman"/>
          <w:spacing w:val="7"/>
          <w:szCs w:val="28"/>
          <w:lang w:eastAsia="ru-RU"/>
        </w:rPr>
        <w:t xml:space="preserve">учреждения </w:t>
      </w:r>
      <w:r>
        <w:rPr>
          <w:rFonts w:eastAsia="Times New Roman"/>
          <w:szCs w:val="28"/>
          <w:lang w:eastAsia="ru-RU"/>
        </w:rPr>
        <w:t>оборудованы системой камер видеонаблюдения, оснащены полным комплексом пожарной автоматики (освещение, оповещение, сигнализация, ППК РСПИ «Стрелец-мониторинг»).</w:t>
      </w:r>
      <w:r>
        <w:rPr>
          <w:rFonts w:eastAsia="Times New Roman"/>
          <w:spacing w:val="7"/>
          <w:szCs w:val="28"/>
          <w:lang w:eastAsia="ru-RU"/>
        </w:rPr>
        <w:t xml:space="preserve"> </w:t>
      </w:r>
    </w:p>
    <w:p w:rsidR="00637FB4" w:rsidRDefault="00637FB4" w:rsidP="004D2808">
      <w:pPr>
        <w:spacing w:line="322" w:lineRule="exact"/>
        <w:ind w:left="20" w:right="20" w:firstLine="709"/>
        <w:jc w:val="both"/>
        <w:rPr>
          <w:rFonts w:eastAsia="Times New Roman"/>
          <w:spacing w:val="7"/>
          <w:szCs w:val="28"/>
          <w:lang w:val="x-none" w:eastAsia="ru-RU"/>
        </w:rPr>
      </w:pPr>
      <w:r>
        <w:rPr>
          <w:rFonts w:eastAsia="Times New Roman"/>
          <w:spacing w:val="7"/>
          <w:szCs w:val="28"/>
          <w:lang w:val="x-none" w:eastAsia="ru-RU"/>
        </w:rPr>
        <w:t xml:space="preserve">Существенно улучшилось обеспечение школ современным информационно-технологическим оборудованием, что позволяет использовать в учебном процессе технологии, связанные с медиа сферой, информационно-телекоммуникационной сетью «Интернет», проводить в режиме реального времени видеоконференции и предоставлять образовательные услуги дистанционно. 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7"/>
          <w:szCs w:val="28"/>
          <w:lang w:eastAsia="ru-RU"/>
        </w:rPr>
        <w:t>В 2017-2019 гг. планируется рост значения показателя до 81,17% за счет увеличения учреждений, реализующих программы с применением дистанционных образовательных технологий, имеющих условия для беспрепятственного доступа ин</w:t>
      </w:r>
      <w:r w:rsidRPr="00637FB4">
        <w:rPr>
          <w:rFonts w:eastAsia="Times New Roman"/>
          <w:spacing w:val="7"/>
          <w:szCs w:val="28"/>
          <w:lang w:eastAsia="ru-RU"/>
        </w:rPr>
        <w:t xml:space="preserve">валидов к образовательной организации, </w:t>
      </w:r>
      <w:r w:rsidRPr="00637FB4">
        <w:rPr>
          <w:rFonts w:eastAsia="Times New Roman"/>
          <w:szCs w:val="28"/>
          <w:lang w:val="x-none" w:eastAsia="ru-RU"/>
        </w:rPr>
        <w:t xml:space="preserve">модернизации инфраструктуры общего образования, в том числе путем строительства новой школы по ул. </w:t>
      </w:r>
      <w:proofErr w:type="spellStart"/>
      <w:r w:rsidRPr="00637FB4">
        <w:rPr>
          <w:rFonts w:eastAsia="Times New Roman"/>
          <w:szCs w:val="28"/>
          <w:lang w:val="x-none" w:eastAsia="ru-RU"/>
        </w:rPr>
        <w:t>Зеленгинская</w:t>
      </w:r>
      <w:proofErr w:type="spellEnd"/>
      <w:r w:rsidRPr="00637FB4">
        <w:rPr>
          <w:rFonts w:eastAsia="Times New Roman"/>
          <w:szCs w:val="28"/>
          <w:lang w:val="x-none" w:eastAsia="ru-RU"/>
        </w:rPr>
        <w:t>, проведения капитального ремонта в образовательных учреждениях</w:t>
      </w:r>
      <w:r w:rsidRPr="00637FB4">
        <w:rPr>
          <w:rFonts w:eastAsia="Times New Roman"/>
          <w:szCs w:val="28"/>
          <w:lang w:eastAsia="ru-RU"/>
        </w:rPr>
        <w:t>.</w:t>
      </w:r>
    </w:p>
    <w:p w:rsidR="00637FB4" w:rsidRPr="00637FB4" w:rsidRDefault="00637FB4" w:rsidP="004D2808">
      <w:pPr>
        <w:spacing w:line="322" w:lineRule="exact"/>
        <w:ind w:left="20" w:right="20" w:firstLine="709"/>
        <w:jc w:val="both"/>
        <w:rPr>
          <w:rFonts w:eastAsia="Times New Roman"/>
          <w:spacing w:val="7"/>
          <w:szCs w:val="28"/>
          <w:highlight w:val="lightGray"/>
          <w:lang w:eastAsia="ru-RU"/>
        </w:rPr>
      </w:pPr>
    </w:p>
    <w:p w:rsidR="007B0E1B" w:rsidRPr="00637FB4" w:rsidRDefault="005C0C24" w:rsidP="004D280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15.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 xml:space="preserve">В отчетном году доля муниципальных общеобразовательных учреждений, здания которых находятся в аварийном состоянии или требуют капитального ремонта,  возросла и составила 10,29%.  </w:t>
      </w:r>
    </w:p>
    <w:p w:rsidR="00637FB4" w:rsidRPr="00637FB4" w:rsidRDefault="00637FB4" w:rsidP="004D2808">
      <w:pPr>
        <w:ind w:firstLine="709"/>
        <w:jc w:val="both"/>
        <w:rPr>
          <w:rFonts w:eastAsia="Calibri"/>
          <w:szCs w:val="28"/>
        </w:rPr>
      </w:pPr>
      <w:r w:rsidRPr="00637FB4">
        <w:rPr>
          <w:rFonts w:eastAsia="Times New Roman"/>
          <w:szCs w:val="28"/>
          <w:lang w:eastAsia="ru-RU"/>
        </w:rPr>
        <w:t>Рост показателя обусловлен следующими факторами:</w:t>
      </w:r>
    </w:p>
    <w:p w:rsidR="00637FB4" w:rsidRPr="00427CA7" w:rsidRDefault="00637FB4" w:rsidP="004D2808">
      <w:pPr>
        <w:pStyle w:val="aa"/>
        <w:numPr>
          <w:ilvl w:val="0"/>
          <w:numId w:val="26"/>
        </w:numPr>
        <w:tabs>
          <w:tab w:val="left" w:pos="993"/>
        </w:tabs>
        <w:snapToGrid w:val="0"/>
        <w:spacing w:line="240" w:lineRule="atLeast"/>
        <w:ind w:left="0" w:firstLine="709"/>
        <w:jc w:val="both"/>
        <w:rPr>
          <w:rFonts w:eastAsia="Times New Roman"/>
          <w:szCs w:val="28"/>
          <w:lang w:eastAsia="ru-RU"/>
        </w:rPr>
      </w:pPr>
      <w:r w:rsidRPr="00427CA7">
        <w:rPr>
          <w:rFonts w:eastAsia="Times New Roman"/>
          <w:szCs w:val="28"/>
          <w:lang w:eastAsia="ru-RU"/>
        </w:rPr>
        <w:t>увеличение количества учреждений,</w:t>
      </w:r>
      <w:r w:rsidRPr="00427CA7">
        <w:rPr>
          <w:rFonts w:eastAsia="Times New Roman"/>
          <w:b/>
          <w:bCs/>
          <w:szCs w:val="28"/>
          <w:lang w:eastAsia="ru-RU"/>
        </w:rPr>
        <w:t xml:space="preserve"> </w:t>
      </w:r>
      <w:r w:rsidRPr="00427CA7">
        <w:rPr>
          <w:rFonts w:eastAsia="Times New Roman"/>
          <w:bCs/>
          <w:szCs w:val="28"/>
          <w:lang w:eastAsia="ru-RU"/>
        </w:rPr>
        <w:t>здания которых требуют капитального ремонта на 2 единицы (в ООШ №31 проведен капитальный ремонт, здания ООШ №5, СОШ №13, СОШ №14 внесены в список учреждений, требующих проведения капитального ремонта);</w:t>
      </w:r>
    </w:p>
    <w:p w:rsidR="00637FB4" w:rsidRPr="00427CA7" w:rsidRDefault="00637FB4" w:rsidP="004D2808">
      <w:pPr>
        <w:pStyle w:val="aa"/>
        <w:numPr>
          <w:ilvl w:val="0"/>
          <w:numId w:val="26"/>
        </w:numPr>
        <w:tabs>
          <w:tab w:val="left" w:pos="993"/>
        </w:tabs>
        <w:snapToGrid w:val="0"/>
        <w:spacing w:line="240" w:lineRule="atLeast"/>
        <w:ind w:left="0" w:firstLine="709"/>
        <w:jc w:val="both"/>
        <w:rPr>
          <w:rFonts w:eastAsia="Times New Roman"/>
          <w:szCs w:val="28"/>
          <w:lang w:eastAsia="ru-RU"/>
        </w:rPr>
      </w:pPr>
      <w:r w:rsidRPr="00427CA7">
        <w:rPr>
          <w:rFonts w:eastAsia="Times New Roman"/>
          <w:szCs w:val="28"/>
          <w:lang w:eastAsia="ru-RU"/>
        </w:rPr>
        <w:t>увеличение общего количества образовательных учреждений на 4 единицы за счет изменения типа и наименования муниципальных казенных общеобразовательных учреждений в муниципальные бюджетные общеобразовательные учреждения (ООШ №1,5,6,8).</w:t>
      </w:r>
    </w:p>
    <w:p w:rsidR="00637FB4" w:rsidRPr="00637FB4" w:rsidRDefault="00637FB4" w:rsidP="004D2808">
      <w:pPr>
        <w:spacing w:line="24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 конца 2018 года </w:t>
      </w:r>
      <w:r w:rsidRPr="00EF3EED">
        <w:rPr>
          <w:rFonts w:eastAsia="Times New Roman"/>
          <w:szCs w:val="28"/>
          <w:lang w:eastAsia="ru-RU"/>
        </w:rPr>
        <w:t xml:space="preserve">планируется </w:t>
      </w:r>
      <w:r w:rsidR="00EF3EED" w:rsidRPr="00EF3EED">
        <w:rPr>
          <w:rFonts w:eastAsia="Times New Roman"/>
          <w:szCs w:val="28"/>
          <w:lang w:eastAsia="ru-RU"/>
        </w:rPr>
        <w:t>отремонтировать</w:t>
      </w:r>
      <w:r w:rsidRPr="00EF3EED">
        <w:rPr>
          <w:rFonts w:eastAsia="Times New Roman"/>
          <w:szCs w:val="28"/>
          <w:lang w:eastAsia="ru-RU"/>
        </w:rPr>
        <w:t xml:space="preserve"> ООШ №3. </w:t>
      </w:r>
      <w:r>
        <w:rPr>
          <w:rFonts w:eastAsia="Times New Roman"/>
          <w:szCs w:val="28"/>
          <w:lang w:eastAsia="ru-RU"/>
        </w:rPr>
        <w:t xml:space="preserve">Таким образом, </w:t>
      </w:r>
      <w:r w:rsidR="00F06745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2019 году доля муниципальных дошкольных образовательных учреждений, здания которых находятся в аварийном состоянии или требует капитального ремонта, в общем числе муниципальных дошкольных образовательных учреждений </w:t>
      </w:r>
      <w:r w:rsidRPr="00637FB4">
        <w:rPr>
          <w:rFonts w:eastAsia="Times New Roman"/>
          <w:szCs w:val="28"/>
          <w:lang w:eastAsia="ru-RU"/>
        </w:rPr>
        <w:t>снизится и составит 8,82 %.</w:t>
      </w:r>
    </w:p>
    <w:p w:rsidR="00F82821" w:rsidRPr="00637FB4" w:rsidRDefault="00F82821" w:rsidP="00D229D3">
      <w:pPr>
        <w:ind w:firstLine="567"/>
        <w:jc w:val="both"/>
        <w:rPr>
          <w:rFonts w:eastAsia="Times New Roman" w:cs="Times New Roman"/>
          <w:b/>
          <w:szCs w:val="28"/>
        </w:rPr>
      </w:pPr>
    </w:p>
    <w:p w:rsidR="007B0E1B" w:rsidRPr="00637FB4" w:rsidRDefault="005C0C24" w:rsidP="004D2808">
      <w:pPr>
        <w:snapToGrid w:val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16.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Доля детей первой и второй групп здоровья в общей </w:t>
      </w:r>
      <w:proofErr w:type="gramStart"/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shd w:val="clear" w:color="auto" w:fill="FFFFFF"/>
          <w:lang w:eastAsia="ru-RU"/>
        </w:rPr>
        <w:t>Состояние здоровья подрастающего поколения – важный показатель благополучия общества и государства, отражающий не только настоящую ситуацию, но и прогноз на будущее.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lang w:eastAsia="ru-RU"/>
        </w:rPr>
        <w:t xml:space="preserve">Соотношение учащихся первой и второй групп здоровья в общей </w:t>
      </w:r>
      <w:proofErr w:type="gramStart"/>
      <w:r w:rsidRPr="00637FB4">
        <w:rPr>
          <w:rFonts w:eastAsia="Times New Roman" w:cs="Times New Roman"/>
          <w:szCs w:val="28"/>
          <w:lang w:eastAsia="ru-RU"/>
        </w:rPr>
        <w:t>численности</w:t>
      </w:r>
      <w:proofErr w:type="gramEnd"/>
      <w:r w:rsidRPr="00637FB4">
        <w:rPr>
          <w:rFonts w:eastAsia="Times New Roman" w:cs="Times New Roman"/>
          <w:szCs w:val="28"/>
          <w:lang w:eastAsia="ru-RU"/>
        </w:rPr>
        <w:t xml:space="preserve"> обучающихся в муниципальных общеобразовательных учреждениях в отчетном году составило 81,09% (в 2015 году – 81,00%).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lang w:eastAsia="ru-RU"/>
        </w:rPr>
        <w:t>В муниципальных общеобразовательных учреждениях г. Астрахани осуществляется систематическая работа по улучшению условий пребывания школьников: проводятся полные или частичные ремонты внутренних помещений школ, инженерных систем, кровли, пищеблоков, спортивных залов, системы искусственного освещения, переоснащение общеобразовательных учреждений новой школьной мебелью, холодильным и технологическим оборудованием.</w:t>
      </w:r>
    </w:p>
    <w:p w:rsidR="00637FB4" w:rsidRPr="00637FB4" w:rsidRDefault="00637FB4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FB4">
        <w:rPr>
          <w:rFonts w:eastAsia="Times New Roman" w:cs="Times New Roman"/>
          <w:szCs w:val="28"/>
          <w:lang w:eastAsia="ru-RU"/>
        </w:rPr>
        <w:t xml:space="preserve">На фоне роста общей численности обучающихся к концу 2019 года доля детей первой и второй групп здоровья составит 82,30%. В планируемом периоде будет продолжена реализация </w:t>
      </w:r>
      <w:proofErr w:type="spellStart"/>
      <w:r w:rsidRPr="00637FB4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637FB4">
        <w:rPr>
          <w:rFonts w:eastAsia="Times New Roman" w:cs="Times New Roman"/>
          <w:szCs w:val="28"/>
          <w:lang w:eastAsia="ru-RU"/>
        </w:rPr>
        <w:t xml:space="preserve"> программ, направленных на укрепление здоровья воспитанников.</w:t>
      </w:r>
    </w:p>
    <w:p w:rsidR="00336889" w:rsidRPr="00637FB4" w:rsidRDefault="00336889" w:rsidP="00D229D3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7B0E1B" w:rsidRPr="00637FB4" w:rsidRDefault="007B0E1B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bCs/>
          <w:szCs w:val="28"/>
          <w:lang w:eastAsia="ru-RU"/>
        </w:rPr>
        <w:t xml:space="preserve">17.Доля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637FB4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Pr="00637FB4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учреждениях.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37FB4">
        <w:rPr>
          <w:rFonts w:eastAsia="Times New Roman"/>
          <w:szCs w:val="28"/>
          <w:lang w:eastAsia="ru-RU"/>
        </w:rPr>
        <w:t xml:space="preserve">В отчетном году доля обучающихся в муниципальных общеобразовательных учреждениях, занимающихся во вторую (третью) смену, составила 29,59%, что ниже уровня 2015 года на 2,14 </w:t>
      </w:r>
      <w:proofErr w:type="spellStart"/>
      <w:r w:rsidRPr="00637FB4">
        <w:rPr>
          <w:rFonts w:eastAsia="Times New Roman"/>
          <w:szCs w:val="28"/>
          <w:lang w:eastAsia="ru-RU"/>
        </w:rPr>
        <w:t>п.п</w:t>
      </w:r>
      <w:proofErr w:type="spellEnd"/>
      <w:r w:rsidRPr="00637FB4">
        <w:rPr>
          <w:rFonts w:eastAsia="Times New Roman"/>
          <w:szCs w:val="28"/>
          <w:lang w:eastAsia="ru-RU"/>
        </w:rPr>
        <w:t>.</w:t>
      </w:r>
      <w:proofErr w:type="gramEnd"/>
      <w:r w:rsidRPr="00637FB4">
        <w:rPr>
          <w:rFonts w:eastAsia="Times New Roman"/>
          <w:szCs w:val="28"/>
          <w:lang w:eastAsia="ru-RU"/>
        </w:rPr>
        <w:t xml:space="preserve">  Уменьшение доли обучающихся, занимающихся во вторую смену, произошло в связи с эффективным использованием имеющихся помещений общеобразовательных учреждений. 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ar-SA"/>
        </w:rPr>
      </w:pPr>
      <w:r w:rsidRPr="00637FB4">
        <w:rPr>
          <w:rFonts w:eastAsia="Times New Roman"/>
          <w:szCs w:val="28"/>
          <w:lang w:eastAsia="ru-RU"/>
        </w:rPr>
        <w:t xml:space="preserve">Проблемой остаётся невозможность организации односменного режима работы всех общеобразовательных учреждений, что </w:t>
      </w:r>
      <w:r w:rsidRPr="00637FB4">
        <w:rPr>
          <w:rFonts w:eastAsia="Times New Roman"/>
          <w:szCs w:val="28"/>
          <w:lang w:eastAsia="ar-SA"/>
        </w:rPr>
        <w:t xml:space="preserve">обусловлено демографической ситуацией, строительством новых жилых микрорайонов, не обеспеченных зданиями школ, снижением мощности имеющихся учреждений в связи с </w:t>
      </w:r>
      <w:r>
        <w:rPr>
          <w:rFonts w:eastAsia="Times New Roman"/>
          <w:szCs w:val="28"/>
          <w:lang w:eastAsia="ar-SA"/>
        </w:rPr>
        <w:t>изменениями требований к оснащению и организации образовательного процесса.</w:t>
      </w:r>
    </w:p>
    <w:p w:rsidR="00637FB4" w:rsidRDefault="00637FB4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2017-2019 годах  планируется снижение показателя до 23,67% в рамках реализации программы «Содействие созданию в субъектах Российской Федерации новых мест в общеобразовательных организациях» на 2016-2025 годы (распоряжение Правительства Российской Федерации от 23.10.2015 № 2145-р). </w:t>
      </w:r>
    </w:p>
    <w:p w:rsidR="00637FB4" w:rsidRDefault="00637FB4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Создание новых мест планируется за счет:</w:t>
      </w:r>
    </w:p>
    <w:p w:rsidR="00637FB4" w:rsidRDefault="00637FB4" w:rsidP="004D2808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модернизации соответствующей инфраструктуры общего образования, в том числе путем строительства новой школы по ул. </w:t>
      </w:r>
      <w:proofErr w:type="spellStart"/>
      <w:r>
        <w:rPr>
          <w:rFonts w:eastAsia="Times New Roman"/>
          <w:szCs w:val="28"/>
          <w:lang w:eastAsia="ru-RU"/>
        </w:rPr>
        <w:t>Зеленгинская</w:t>
      </w:r>
      <w:proofErr w:type="spellEnd"/>
      <w:r>
        <w:rPr>
          <w:rFonts w:eastAsia="Times New Roman"/>
          <w:szCs w:val="28"/>
          <w:lang w:eastAsia="ru-RU"/>
        </w:rPr>
        <w:t>, проведения капитального ремонта в образовательных учреждениях;</w:t>
      </w:r>
    </w:p>
    <w:p w:rsidR="00637FB4" w:rsidRDefault="00637FB4" w:rsidP="004D2808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оптимизации загруженности школ, в том числе путем эффективного использования имеющихся помещений школ, повышения </w:t>
      </w:r>
      <w:proofErr w:type="gramStart"/>
      <w:r>
        <w:rPr>
          <w:rFonts w:eastAsia="Times New Roman"/>
          <w:szCs w:val="28"/>
          <w:lang w:eastAsia="ru-RU"/>
        </w:rPr>
        <w:t>эффективности использования помещений образовательных организаций всех типов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9B03EB" w:rsidRPr="00A7096F" w:rsidRDefault="009B03EB" w:rsidP="00D229D3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7B0E1B" w:rsidRPr="00276789" w:rsidRDefault="005C0C24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18.</w:t>
      </w:r>
      <w:r w:rsidR="007B0E1B" w:rsidRPr="00276789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276789" w:rsidRP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276789">
        <w:rPr>
          <w:rFonts w:eastAsia="Times New Roman"/>
          <w:szCs w:val="28"/>
          <w:lang w:eastAsia="ru-RU"/>
        </w:rPr>
        <w:t xml:space="preserve">Образование является одной из основных статей в расходной части бюджета городского округа, так как является социально значимой отраслью экономики. </w:t>
      </w:r>
    </w:p>
    <w:p w:rsid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76789">
        <w:rPr>
          <w:rFonts w:eastAsia="Times New Roman"/>
          <w:szCs w:val="28"/>
          <w:lang w:eastAsia="ru-RU"/>
        </w:rPr>
        <w:t>Общий  объем расходов бюджета на общее образование за 2016 год составил 2 638 992,37 тыс. рублей и по сравнению с предыдущим годом снизился на 7,4%.</w:t>
      </w:r>
      <w:r w:rsidRPr="00276789">
        <w:rPr>
          <w:rFonts w:eastAsia="Times New Roman"/>
          <w:bCs/>
          <w:szCs w:val="28"/>
          <w:lang w:eastAsia="ru-RU"/>
        </w:rPr>
        <w:t xml:space="preserve">  </w:t>
      </w:r>
      <w:r w:rsidRPr="00276789">
        <w:rPr>
          <w:rFonts w:eastAsia="Times New Roman"/>
          <w:szCs w:val="28"/>
          <w:lang w:eastAsia="ru-RU"/>
        </w:rPr>
        <w:t xml:space="preserve">Из средств областного бюджета освоено образовательными учреждениями субвенций на реализацию государственного стандарта общего образования в сумме 1 875 459,2 тыс. рублей из расчета 410 рублей в год на одного учащегося в общеобразовательных учреждениях. </w:t>
      </w:r>
      <w:proofErr w:type="gramEnd"/>
    </w:p>
    <w:p w:rsidR="00276789" w:rsidRP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276789">
        <w:rPr>
          <w:rFonts w:eastAsia="Times New Roman"/>
          <w:szCs w:val="28"/>
          <w:lang w:eastAsia="ru-RU"/>
        </w:rPr>
        <w:t>Среднегодовая численность обучающихся в 2016 году составила 59828 человек (с учетом детей в дошкольных подразделениях общеобразовательных организаций).</w:t>
      </w:r>
    </w:p>
    <w:p w:rsidR="00276789" w:rsidRP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276789">
        <w:rPr>
          <w:rFonts w:eastAsia="Times New Roman"/>
          <w:szCs w:val="28"/>
          <w:lang w:eastAsia="ru-RU"/>
        </w:rPr>
        <w:t xml:space="preserve">В результате расходы бюджета муниципального образования на общее образование в расчете на 1 обучающегося в муниципальных общеобразовательных учреждениях в 2015 году сложились в сумме 49,35 тыс. рублей. </w:t>
      </w:r>
    </w:p>
    <w:p w:rsidR="00276789" w:rsidRP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276789">
        <w:rPr>
          <w:rFonts w:eastAsia="Times New Roman"/>
          <w:szCs w:val="28"/>
          <w:lang w:eastAsia="ru-RU"/>
        </w:rPr>
        <w:t xml:space="preserve">Из средств областного бюджета на 2017 год по образовательным учреждениям заложены ассигнования на субвенции на реализацию государственного стандарта общего образования в сумме  1 875 459,3 тыс. рублей, что соответствует общему объему расходов </w:t>
      </w:r>
      <w:proofErr w:type="gramStart"/>
      <w:r w:rsidRPr="00276789">
        <w:rPr>
          <w:rFonts w:eastAsia="Times New Roman"/>
          <w:szCs w:val="28"/>
          <w:lang w:eastAsia="ru-RU"/>
        </w:rPr>
        <w:t>на те</w:t>
      </w:r>
      <w:proofErr w:type="gramEnd"/>
      <w:r w:rsidRPr="00276789">
        <w:rPr>
          <w:rFonts w:eastAsia="Times New Roman"/>
          <w:szCs w:val="28"/>
          <w:lang w:eastAsia="ru-RU"/>
        </w:rPr>
        <w:t xml:space="preserve"> же цели за 2016 год. </w:t>
      </w:r>
      <w:proofErr w:type="gramStart"/>
      <w:r w:rsidRPr="00276789">
        <w:rPr>
          <w:rFonts w:eastAsia="Times New Roman"/>
          <w:szCs w:val="28"/>
          <w:lang w:eastAsia="ru-RU"/>
        </w:rPr>
        <w:t>В соответствии с нормативами финансового обеспечения на выполнение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утвержденными Постановлением Правительства Астраханской области от 01.02.2017 года № 18-П «О внесении изменений в постановление правительства Астраханской области от 04.03.2014 года № 58-П» потребность в</w:t>
      </w:r>
      <w:proofErr w:type="gramEnd"/>
      <w:r w:rsidRPr="00276789">
        <w:rPr>
          <w:rFonts w:eastAsia="Times New Roman"/>
          <w:szCs w:val="28"/>
          <w:lang w:eastAsia="ru-RU"/>
        </w:rPr>
        <w:t xml:space="preserve"> дополнительных бюджетных </w:t>
      </w:r>
      <w:proofErr w:type="gramStart"/>
      <w:r w:rsidRPr="00276789">
        <w:rPr>
          <w:rFonts w:eastAsia="Times New Roman"/>
          <w:szCs w:val="28"/>
          <w:lang w:eastAsia="ru-RU"/>
        </w:rPr>
        <w:t>ассигнованиях</w:t>
      </w:r>
      <w:proofErr w:type="gramEnd"/>
      <w:r w:rsidRPr="00276789">
        <w:rPr>
          <w:rFonts w:eastAsia="Times New Roman"/>
          <w:szCs w:val="28"/>
          <w:lang w:eastAsia="ru-RU"/>
        </w:rPr>
        <w:t xml:space="preserve"> из средств областного бюджета в 2017 году на общее образование составляет 201 318,7 тыс. рублей. Кроме того, не заложены расходы на возмещение затрат по выполнению непрофильных функций в муниципальных общеобразовательных организациях.</w:t>
      </w:r>
    </w:p>
    <w:p w:rsidR="00276789" w:rsidRPr="0027678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276789">
        <w:rPr>
          <w:rFonts w:eastAsia="Times New Roman"/>
          <w:szCs w:val="28"/>
          <w:lang w:eastAsia="ru-RU"/>
        </w:rPr>
        <w:t xml:space="preserve">К 2019 году общий объем расходов бюджета на общее образование снизится до 1 291 616,93 тыс. руб. </w:t>
      </w:r>
      <w:r>
        <w:rPr>
          <w:rFonts w:eastAsia="Times New Roman"/>
          <w:szCs w:val="28"/>
          <w:lang w:eastAsia="ru-RU"/>
        </w:rPr>
        <w:t>Кроме того,</w:t>
      </w:r>
      <w:r w:rsidRPr="00276789">
        <w:rPr>
          <w:rFonts w:eastAsia="Times New Roman"/>
          <w:szCs w:val="28"/>
          <w:lang w:eastAsia="ru-RU"/>
        </w:rPr>
        <w:t xml:space="preserve"> планируется повышение среднегодовой численности обучающихся до 64236 в связи с увеличением общего количества обучающихся в образовательных организациях.</w:t>
      </w:r>
    </w:p>
    <w:p w:rsidR="00276789" w:rsidRPr="00BA5F99" w:rsidRDefault="00276789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BA5F99">
        <w:rPr>
          <w:rFonts w:eastAsia="Times New Roman"/>
          <w:szCs w:val="28"/>
          <w:lang w:eastAsia="ru-RU"/>
        </w:rPr>
        <w:t xml:space="preserve">В связи со снижением финансирования </w:t>
      </w:r>
      <w:r w:rsidR="00F06745">
        <w:rPr>
          <w:rFonts w:eastAsia="Times New Roman"/>
          <w:szCs w:val="28"/>
          <w:lang w:eastAsia="ru-RU"/>
        </w:rPr>
        <w:t xml:space="preserve">и увеличением </w:t>
      </w:r>
      <w:r w:rsidR="00F06745" w:rsidRPr="00F06745">
        <w:rPr>
          <w:rFonts w:eastAsia="Times New Roman"/>
          <w:szCs w:val="28"/>
          <w:lang w:eastAsia="ru-RU"/>
        </w:rPr>
        <w:t>общего количества обучающихс</w:t>
      </w:r>
      <w:r w:rsidR="00F06745">
        <w:rPr>
          <w:rFonts w:eastAsia="Times New Roman"/>
          <w:szCs w:val="28"/>
          <w:lang w:eastAsia="ru-RU"/>
        </w:rPr>
        <w:t xml:space="preserve">я </w:t>
      </w:r>
      <w:r w:rsidRPr="00BA5F99">
        <w:rPr>
          <w:rFonts w:eastAsia="Times New Roman"/>
          <w:szCs w:val="28"/>
          <w:lang w:eastAsia="ru-RU"/>
        </w:rPr>
        <w:t>расходы на содержание и обучение одного обучающегося в 201</w:t>
      </w:r>
      <w:r w:rsidR="00BA5F99" w:rsidRPr="00BA5F99">
        <w:rPr>
          <w:rFonts w:eastAsia="Times New Roman"/>
          <w:szCs w:val="28"/>
          <w:lang w:eastAsia="ru-RU"/>
        </w:rPr>
        <w:t>7</w:t>
      </w:r>
      <w:r w:rsidRPr="00BA5F99">
        <w:rPr>
          <w:rFonts w:eastAsia="Times New Roman"/>
          <w:szCs w:val="28"/>
          <w:lang w:eastAsia="ru-RU"/>
        </w:rPr>
        <w:t>-201</w:t>
      </w:r>
      <w:r w:rsidR="00BA5F99" w:rsidRPr="00BA5F99">
        <w:rPr>
          <w:rFonts w:eastAsia="Times New Roman"/>
          <w:szCs w:val="28"/>
          <w:lang w:eastAsia="ru-RU"/>
        </w:rPr>
        <w:t>9</w:t>
      </w:r>
      <w:r w:rsidRPr="00BA5F99">
        <w:rPr>
          <w:rFonts w:eastAsia="Times New Roman"/>
          <w:szCs w:val="28"/>
          <w:lang w:eastAsia="ru-RU"/>
        </w:rPr>
        <w:t xml:space="preserve"> годах планируются на уровне </w:t>
      </w:r>
      <w:r w:rsidR="00BA5F99" w:rsidRPr="00BA5F99">
        <w:rPr>
          <w:rFonts w:eastAsia="Times New Roman"/>
          <w:szCs w:val="28"/>
          <w:lang w:eastAsia="ru-RU"/>
        </w:rPr>
        <w:t>33,73</w:t>
      </w:r>
      <w:r w:rsidRPr="00BA5F99">
        <w:rPr>
          <w:rFonts w:eastAsia="Times New Roman"/>
          <w:szCs w:val="28"/>
          <w:lang w:eastAsia="ru-RU"/>
        </w:rPr>
        <w:t xml:space="preserve"> тыс. рублей, </w:t>
      </w:r>
      <w:r w:rsidR="00BA5F99" w:rsidRPr="00BA5F99">
        <w:rPr>
          <w:rFonts w:eastAsia="Times New Roman"/>
          <w:szCs w:val="28"/>
          <w:lang w:eastAsia="ru-RU"/>
        </w:rPr>
        <w:t>20,60</w:t>
      </w:r>
      <w:r w:rsidRPr="00BA5F99">
        <w:rPr>
          <w:rFonts w:eastAsia="Times New Roman"/>
          <w:szCs w:val="28"/>
          <w:lang w:eastAsia="ru-RU"/>
        </w:rPr>
        <w:t xml:space="preserve"> тыс. рублей и </w:t>
      </w:r>
      <w:r w:rsidR="00BA5F99" w:rsidRPr="00BA5F99">
        <w:rPr>
          <w:rFonts w:eastAsia="Times New Roman"/>
          <w:szCs w:val="28"/>
          <w:lang w:eastAsia="ru-RU"/>
        </w:rPr>
        <w:t>20,11</w:t>
      </w:r>
      <w:r w:rsidRPr="00BA5F99">
        <w:rPr>
          <w:rFonts w:eastAsia="Times New Roman"/>
          <w:szCs w:val="28"/>
          <w:lang w:eastAsia="ru-RU"/>
        </w:rPr>
        <w:t xml:space="preserve"> тыс. рублей соответственно.</w:t>
      </w:r>
    </w:p>
    <w:p w:rsidR="00602623" w:rsidRPr="00A7096F" w:rsidRDefault="00602623" w:rsidP="00D229D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B0E1B" w:rsidRPr="00637FB4" w:rsidRDefault="005C0C24" w:rsidP="004D280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19.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 w:rsidRPr="00637FB4">
        <w:rPr>
          <w:rFonts w:eastAsia="Times New Roman"/>
          <w:szCs w:val="28"/>
          <w:lang w:eastAsia="ru-RU"/>
        </w:rPr>
        <w:t xml:space="preserve">Современное развитие муниципальной системы дополнительного образования строится в соответствии с Концепцией развития дополнительного образования, утвержденной распоряжением Правительства Российской Федерации от 4.09.2014 №1726-р. </w:t>
      </w:r>
    </w:p>
    <w:p w:rsidR="00637FB4" w:rsidRPr="00637FB4" w:rsidRDefault="00637FB4" w:rsidP="004D2808">
      <w:pPr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  <w:r w:rsidRPr="00637FB4">
        <w:rPr>
          <w:rFonts w:eastAsia="Times New Roman"/>
          <w:szCs w:val="28"/>
          <w:lang w:eastAsia="ru-RU"/>
        </w:rPr>
        <w:t>Доля детей</w:t>
      </w:r>
      <w:r w:rsidRPr="00637FB4">
        <w:rPr>
          <w:rFonts w:eastAsia="Times New Roman"/>
          <w:bCs/>
          <w:szCs w:val="28"/>
          <w:lang w:eastAsia="ru-RU"/>
        </w:rPr>
        <w:t>, получающих услуги по дополнительному образованию</w:t>
      </w:r>
      <w:r w:rsidRPr="00637FB4">
        <w:rPr>
          <w:rFonts w:eastAsia="Times New Roman"/>
          <w:szCs w:val="28"/>
          <w:lang w:eastAsia="ru-RU"/>
        </w:rPr>
        <w:t xml:space="preserve">, </w:t>
      </w:r>
      <w:r w:rsidRPr="00637FB4">
        <w:rPr>
          <w:rFonts w:eastAsia="Times New Roman"/>
          <w:bCs/>
          <w:szCs w:val="28"/>
          <w:lang w:eastAsia="ru-RU"/>
        </w:rPr>
        <w:t xml:space="preserve">в отчетном году составила 51,54% от общей численности детей в возрасте 5-18 лет, уменьшилась на 29,4 </w:t>
      </w:r>
      <w:proofErr w:type="spellStart"/>
      <w:r w:rsidRPr="00637FB4">
        <w:rPr>
          <w:rFonts w:eastAsia="Times New Roman"/>
          <w:bCs/>
          <w:szCs w:val="28"/>
          <w:lang w:eastAsia="ru-RU"/>
        </w:rPr>
        <w:t>п.п</w:t>
      </w:r>
      <w:proofErr w:type="spellEnd"/>
      <w:r w:rsidRPr="00637FB4">
        <w:rPr>
          <w:rFonts w:eastAsia="Times New Roman"/>
          <w:bCs/>
          <w:szCs w:val="28"/>
          <w:lang w:eastAsia="ru-RU"/>
        </w:rPr>
        <w:t>.</w:t>
      </w:r>
    </w:p>
    <w:p w:rsidR="00637FB4" w:rsidRDefault="00637FB4" w:rsidP="004D2808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Данный показатель снизился в связи с тем, что в предыдущие отчетные периоды учреждениями, наряду с данными по детям, привлеченным к занятиям по программам дополнительного образования, указывалась численность детей, занимающихся </w:t>
      </w:r>
      <w:proofErr w:type="gramStart"/>
      <w:r>
        <w:rPr>
          <w:rFonts w:eastAsia="Times New Roman"/>
          <w:bCs/>
          <w:szCs w:val="28"/>
          <w:lang w:eastAsia="ru-RU"/>
        </w:rPr>
        <w:t>по</w:t>
      </w:r>
      <w:proofErr w:type="gramEnd"/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основным</w:t>
      </w:r>
      <w:proofErr w:type="gramEnd"/>
      <w:r>
        <w:rPr>
          <w:rFonts w:eastAsia="Times New Roman"/>
          <w:bCs/>
          <w:szCs w:val="28"/>
          <w:lang w:eastAsia="ru-RU"/>
        </w:rPr>
        <w:t xml:space="preserve"> образовательным программы в рамках внеурочной деятельности.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2017 году планируется увеличение количества обучающихся, получающих услуги дополнительного образования до 61 302 человек.</w:t>
      </w:r>
    </w:p>
    <w:p w:rsidR="00413B38" w:rsidRDefault="00637FB4" w:rsidP="004D2808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Указом Президента Российской Федерации от 07.05.2012 №597 «О мероприятиях по реализации государственной социальной политики» планируется расширение программных мероприятий по эффективному использованию потенциала системы дополнительного образования детей, создание условий для развития молодых талантов и детей с высокой мотивацией к обучению. Данные мероприятия приведут к увеличению д</w:t>
      </w:r>
      <w:r>
        <w:rPr>
          <w:rFonts w:eastAsia="Times New Roman"/>
          <w:bCs/>
          <w:szCs w:val="28"/>
          <w:lang w:eastAsia="ru-RU"/>
        </w:rPr>
        <w:t xml:space="preserve">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F06745" w:rsidRPr="00F06745">
        <w:rPr>
          <w:rFonts w:eastAsia="Times New Roman"/>
          <w:bCs/>
          <w:szCs w:val="28"/>
          <w:lang w:eastAsia="ru-RU"/>
        </w:rPr>
        <w:t xml:space="preserve">в 2019 году </w:t>
      </w:r>
      <w:r>
        <w:rPr>
          <w:rFonts w:eastAsia="Times New Roman"/>
          <w:bCs/>
          <w:szCs w:val="28"/>
          <w:lang w:eastAsia="ru-RU"/>
        </w:rPr>
        <w:t>до 81,53 %.</w:t>
      </w:r>
    </w:p>
    <w:p w:rsidR="00602623" w:rsidRDefault="00602623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Культура</w:t>
      </w:r>
    </w:p>
    <w:p w:rsidR="00413B38" w:rsidRPr="00637FB4" w:rsidRDefault="00413B38" w:rsidP="00413B38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FF574F" w:rsidRPr="00637FB4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20.</w:t>
      </w:r>
      <w:r w:rsidR="00FF574F" w:rsidRPr="00637FB4">
        <w:rPr>
          <w:rFonts w:eastAsia="Times New Roman" w:cs="Times New Roman"/>
          <w:b/>
          <w:szCs w:val="28"/>
          <w:lang w:eastAsia="ru-RU"/>
        </w:rPr>
        <w:t>Уровень фактической обеспеченности учреждениями от нормативной потребности:</w:t>
      </w:r>
    </w:p>
    <w:p w:rsidR="00637FB4" w:rsidRDefault="00637FB4" w:rsidP="004D2808">
      <w:pPr>
        <w:ind w:firstLine="709"/>
        <w:jc w:val="both"/>
        <w:rPr>
          <w:szCs w:val="28"/>
        </w:rPr>
      </w:pPr>
      <w:r w:rsidRPr="00637FB4">
        <w:rPr>
          <w:rFonts w:eastAsia="Times New Roman"/>
          <w:szCs w:val="28"/>
          <w:lang w:eastAsia="ru-RU"/>
        </w:rPr>
        <w:t xml:space="preserve">Деятельность учреждений </w:t>
      </w:r>
      <w:r>
        <w:rPr>
          <w:rFonts w:eastAsia="Times New Roman"/>
          <w:szCs w:val="28"/>
          <w:lang w:eastAsia="ru-RU"/>
        </w:rPr>
        <w:t xml:space="preserve">культуры и искусства является одной из важнейших составляющих современной культурной жизни горожан. </w:t>
      </w:r>
      <w:r w:rsidR="002843D3">
        <w:rPr>
          <w:szCs w:val="28"/>
        </w:rPr>
        <w:t>В 2016</w:t>
      </w:r>
      <w:bookmarkStart w:id="0" w:name="_GoBack"/>
      <w:bookmarkEnd w:id="0"/>
      <w:r>
        <w:rPr>
          <w:szCs w:val="28"/>
        </w:rPr>
        <w:t xml:space="preserve"> году систему городского культурного пространства составляли </w:t>
      </w:r>
      <w:r w:rsidRPr="00637FB4">
        <w:rPr>
          <w:szCs w:val="28"/>
        </w:rPr>
        <w:t>11 учреждений дополнительного образования в области искусств (детских художественных и музыкальных школ искусств), 1 централизованная городская библиотечная система (20 библиотек)</w:t>
      </w:r>
      <w:r w:rsidR="00F06745">
        <w:rPr>
          <w:szCs w:val="28"/>
        </w:rPr>
        <w:t xml:space="preserve"> и</w:t>
      </w:r>
      <w:r w:rsidRPr="00637FB4">
        <w:rPr>
          <w:szCs w:val="28"/>
        </w:rPr>
        <w:t xml:space="preserve"> Астраханский дворец культуры «Аркадия».</w:t>
      </w:r>
      <w:r>
        <w:rPr>
          <w:szCs w:val="28"/>
        </w:rPr>
        <w:t xml:space="preserve"> </w:t>
      </w:r>
    </w:p>
    <w:p w:rsidR="00637FB4" w:rsidRPr="00F06745" w:rsidRDefault="00637FB4" w:rsidP="004D280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06745">
        <w:rPr>
          <w:b/>
          <w:szCs w:val="28"/>
        </w:rPr>
        <w:t>клубами и учреждениями клубного типа</w:t>
      </w:r>
    </w:p>
    <w:p w:rsidR="00637FB4" w:rsidRDefault="00637FB4" w:rsidP="004D2808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Обеспеченность населения города клубами и учреждениями клубного типа в 2016 году уменьшилась на 5,12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и составила 60,47%. </w:t>
      </w:r>
    </w:p>
    <w:p w:rsidR="00637FB4" w:rsidRDefault="00637FB4" w:rsidP="004D2808">
      <w:pPr>
        <w:ind w:firstLine="709"/>
        <w:jc w:val="both"/>
        <w:rPr>
          <w:szCs w:val="28"/>
        </w:rPr>
      </w:pPr>
      <w:r>
        <w:rPr>
          <w:szCs w:val="28"/>
        </w:rPr>
        <w:t>Снижение уровня обеспеченности клубами и учреждениями клубного типа по сравнению с предыдущим годом произошло по причине уменьшения количества:</w:t>
      </w:r>
    </w:p>
    <w:p w:rsidR="00637FB4" w:rsidRPr="00F06745" w:rsidRDefault="00637FB4" w:rsidP="004D2808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6745">
        <w:rPr>
          <w:szCs w:val="28"/>
        </w:rPr>
        <w:t xml:space="preserve">посадочных мест в культурно-досуговых учреждениях (по данным министерства культуры и туризма Астраханской области, в соответствии </w:t>
      </w:r>
      <w:proofErr w:type="gramStart"/>
      <w:r w:rsidRPr="00F06745">
        <w:rPr>
          <w:szCs w:val="28"/>
        </w:rPr>
        <w:t>с</w:t>
      </w:r>
      <w:proofErr w:type="gramEnd"/>
      <w:r w:rsidRPr="00F06745">
        <w:rPr>
          <w:szCs w:val="28"/>
        </w:rPr>
        <w:t xml:space="preserve"> статистической формой № 7-НК «Сведения об организации культурно-досугового типа» число посадочных мест в культурно-досуговых учреждениях, включая МБУК «АДК «Аркадия»,</w:t>
      </w:r>
      <w:r>
        <w:t xml:space="preserve"> </w:t>
      </w:r>
      <w:r w:rsidRPr="00F06745">
        <w:rPr>
          <w:szCs w:val="28"/>
        </w:rPr>
        <w:t>ГАУ ДО АО «</w:t>
      </w:r>
      <w:proofErr w:type="spellStart"/>
      <w:r w:rsidRPr="00F06745">
        <w:rPr>
          <w:szCs w:val="28"/>
        </w:rPr>
        <w:t>ЦЭВДиМ</w:t>
      </w:r>
      <w:proofErr w:type="spellEnd"/>
      <w:r w:rsidRPr="00F06745">
        <w:rPr>
          <w:szCs w:val="28"/>
        </w:rPr>
        <w:t>», Центр культуры «Виктория» ООО «Газпром добыча Астрахань», в 2016 году составило 1609 единиц);</w:t>
      </w:r>
    </w:p>
    <w:p w:rsidR="00637FB4" w:rsidRPr="00F06745" w:rsidRDefault="00637FB4" w:rsidP="004D2808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6745">
        <w:rPr>
          <w:szCs w:val="28"/>
        </w:rPr>
        <w:t>зрительских мест  в соответствии с утвержденным нормативом (согласно распоряжению Минкультуры России от 27.07.2016 N Р-948, в городском округе с количеством жителей от 500 999 до 999 999 чел. на тысячу жителей должно быть 5 зрительских мест).</w:t>
      </w:r>
    </w:p>
    <w:p w:rsidR="00637FB4" w:rsidRDefault="00637FB4" w:rsidP="004D2808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>
        <w:rPr>
          <w:rFonts w:eastAsia="Lucida Sans Unicode"/>
          <w:color w:val="000000"/>
          <w:kern w:val="2"/>
          <w:szCs w:val="28"/>
          <w:lang w:eastAsia="hi-IN" w:bidi="hi-IN"/>
        </w:rPr>
        <w:t xml:space="preserve">Ликвидация, реорганизация действующих </w:t>
      </w:r>
      <w:r>
        <w:rPr>
          <w:szCs w:val="28"/>
        </w:rPr>
        <w:t>культурно-досуговых учреждений и с</w:t>
      </w:r>
      <w:r>
        <w:rPr>
          <w:rFonts w:eastAsia="Lucida Sans Unicode"/>
          <w:color w:val="000000"/>
          <w:kern w:val="2"/>
          <w:szCs w:val="28"/>
          <w:lang w:eastAsia="hi-IN" w:bidi="hi-IN"/>
        </w:rPr>
        <w:t xml:space="preserve">троительство новых учреждений </w:t>
      </w:r>
      <w:r>
        <w:rPr>
          <w:szCs w:val="28"/>
        </w:rPr>
        <w:t>в ближайшее время не планируется.</w:t>
      </w:r>
    </w:p>
    <w:p w:rsidR="00637FB4" w:rsidRDefault="00637FB4" w:rsidP="004D2808">
      <w:pPr>
        <w:ind w:firstLine="709"/>
        <w:jc w:val="both"/>
        <w:rPr>
          <w:rFonts w:eastAsia="Lucida Sans Unicode"/>
          <w:kern w:val="2"/>
          <w:szCs w:val="28"/>
          <w:lang w:eastAsia="hi-IN" w:bidi="hi-IN"/>
        </w:rPr>
      </w:pPr>
      <w:r>
        <w:rPr>
          <w:rFonts w:eastAsia="Lucida Sans Unicode"/>
          <w:kern w:val="2"/>
          <w:szCs w:val="28"/>
          <w:lang w:eastAsia="hi-IN" w:bidi="hi-IN"/>
        </w:rPr>
        <w:t>Таким образом, в планируемом периоде ожидается снижение обеспеченности до 59,95% в 2019 году в связи с ростом среднегодовой численности населения, проживающего на территории города.</w:t>
      </w:r>
    </w:p>
    <w:p w:rsidR="00637FB4" w:rsidRPr="00F06745" w:rsidRDefault="00637FB4" w:rsidP="004D2808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F06745">
        <w:rPr>
          <w:rFonts w:eastAsia="Times New Roman"/>
          <w:b/>
          <w:szCs w:val="28"/>
          <w:lang w:eastAsia="ru-RU"/>
        </w:rPr>
        <w:t>библиотеками</w:t>
      </w:r>
    </w:p>
    <w:p w:rsidR="00637FB4" w:rsidRDefault="00637FB4" w:rsidP="004D2808">
      <w:pPr>
        <w:ind w:firstLine="709"/>
        <w:jc w:val="both"/>
        <w:rPr>
          <w:rFonts w:eastAsia="Calibri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В отчетном году на территории города </w:t>
      </w:r>
      <w:r>
        <w:rPr>
          <w:rFonts w:eastAsia="Lucida Sans Unicode"/>
          <w:kern w:val="2"/>
          <w:szCs w:val="28"/>
          <w:lang w:eastAsia="hi-IN" w:bidi="hi-IN"/>
        </w:rPr>
        <w:t>функционировало 20 муниципальных библиотек (центральная городская библиотека и 19 библиотек-филиалов во всех районах города.</w:t>
      </w:r>
      <w:proofErr w:type="gramEnd"/>
      <w:r>
        <w:rPr>
          <w:rFonts w:eastAsia="Lucida Sans Unicode"/>
          <w:kern w:val="2"/>
          <w:szCs w:val="28"/>
          <w:lang w:eastAsia="hi-IN" w:bidi="hi-IN"/>
        </w:rPr>
        <w:t xml:space="preserve"> </w:t>
      </w:r>
      <w:r>
        <w:rPr>
          <w:szCs w:val="28"/>
          <w:lang w:eastAsia="ru-RU"/>
        </w:rPr>
        <w:t xml:space="preserve">В библиотеках города обслуживаются более 70,0 тыс. пользователей, в том числе – более 28,0 тыс. детей.  Количество обращений (посещений)  составляет  более 600,0 тыс. посещений в год. Ежегодно в библиотеках города проводится свыше 2000 массовых мероприятий и книжных выставок. </w:t>
      </w:r>
    </w:p>
    <w:p w:rsidR="00637FB4" w:rsidRDefault="00637FB4" w:rsidP="004D280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отчетном году все библиотеки были подключены к сети Интернет и  электронной библиотечной программе «ОРАС </w:t>
      </w:r>
      <w:proofErr w:type="spellStart"/>
      <w:r>
        <w:rPr>
          <w:szCs w:val="28"/>
          <w:lang w:eastAsia="ru-RU"/>
        </w:rPr>
        <w:t>Global</w:t>
      </w:r>
      <w:proofErr w:type="spellEnd"/>
      <w:r>
        <w:rPr>
          <w:szCs w:val="28"/>
          <w:lang w:eastAsia="ru-RU"/>
        </w:rPr>
        <w:t xml:space="preserve">» корпоративной сети библиотек Астраханской области, открыт терминал доступа центральной городской библиотеки к «Национальной электронной библиотеке», обеспечен доступ пользователям к электронному каталогу  библиотек Астраханской области. Объем библиографических записей  электронного каталога МКУК «ЦГБС» составляет 111,0 тыс. записей, что соответствует запланированным показателям ежегодного пополнения сводного электронного каталога Астраханской области.  </w:t>
      </w:r>
    </w:p>
    <w:p w:rsidR="00003997" w:rsidRDefault="00003997" w:rsidP="0000399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Продолжает функционировать терминал доступа центральной городской библиотеки к «Национальной электронной библиотеке», обеспечивающий доступ пользователям к электронному каталогу библиотек Астраханской области.</w:t>
      </w:r>
    </w:p>
    <w:p w:rsidR="00003997" w:rsidRPr="00E728B6" w:rsidRDefault="00003997" w:rsidP="0000399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</w:t>
      </w:r>
      <w:r w:rsidRPr="00E728B6">
        <w:rPr>
          <w:rFonts w:eastAsia="Calibri" w:cs="Times New Roman"/>
          <w:szCs w:val="28"/>
        </w:rPr>
        <w:t>актическ</w:t>
      </w:r>
      <w:r>
        <w:rPr>
          <w:rFonts w:eastAsia="Calibri" w:cs="Times New Roman"/>
          <w:szCs w:val="28"/>
        </w:rPr>
        <w:t>ая</w:t>
      </w:r>
      <w:r w:rsidRPr="00E728B6">
        <w:rPr>
          <w:rFonts w:eastAsia="Calibri" w:cs="Times New Roman"/>
          <w:szCs w:val="28"/>
        </w:rPr>
        <w:t xml:space="preserve"> обеспеченност</w:t>
      </w:r>
      <w:r>
        <w:rPr>
          <w:rFonts w:eastAsia="Calibri" w:cs="Times New Roman"/>
          <w:szCs w:val="28"/>
        </w:rPr>
        <w:t>ь</w:t>
      </w:r>
      <w:r w:rsidRPr="00E728B6">
        <w:rPr>
          <w:rFonts w:eastAsia="Calibri" w:cs="Times New Roman"/>
          <w:szCs w:val="28"/>
        </w:rPr>
        <w:t xml:space="preserve"> населения города библиотеками остал</w:t>
      </w:r>
      <w:r>
        <w:rPr>
          <w:rFonts w:eastAsia="Calibri" w:cs="Times New Roman"/>
          <w:szCs w:val="28"/>
        </w:rPr>
        <w:t>а</w:t>
      </w:r>
      <w:r w:rsidRPr="00E728B6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ь на уровне 2015</w:t>
      </w:r>
      <w:r w:rsidRPr="00E728B6">
        <w:rPr>
          <w:rFonts w:eastAsia="Calibri" w:cs="Times New Roman"/>
          <w:szCs w:val="28"/>
        </w:rPr>
        <w:t xml:space="preserve"> года и составил</w:t>
      </w:r>
      <w:r>
        <w:rPr>
          <w:rFonts w:eastAsia="Calibri" w:cs="Times New Roman"/>
          <w:szCs w:val="28"/>
        </w:rPr>
        <w:t>а</w:t>
      </w:r>
      <w:r w:rsidRPr="00E728B6">
        <w:rPr>
          <w:rFonts w:eastAsia="Calibri" w:cs="Times New Roman"/>
          <w:szCs w:val="28"/>
        </w:rPr>
        <w:t xml:space="preserve"> 76,92%. </w:t>
      </w:r>
    </w:p>
    <w:p w:rsidR="00003997" w:rsidRPr="00E728B6" w:rsidRDefault="00003997" w:rsidP="0000399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728B6">
        <w:rPr>
          <w:rFonts w:eastAsia="Calibri" w:cs="Times New Roman"/>
          <w:szCs w:val="28"/>
          <w:lang w:eastAsia="ru-RU"/>
        </w:rPr>
        <w:t xml:space="preserve">Реорганизация или ликвидация библиотек </w:t>
      </w:r>
      <w:r>
        <w:rPr>
          <w:rFonts w:eastAsia="Calibri" w:cs="Times New Roman"/>
          <w:szCs w:val="28"/>
          <w:lang w:eastAsia="ru-RU"/>
        </w:rPr>
        <w:t>в 2017-2019 г</w:t>
      </w:r>
      <w:r w:rsidRPr="00E728B6">
        <w:rPr>
          <w:rFonts w:eastAsia="Calibri" w:cs="Times New Roman"/>
          <w:szCs w:val="28"/>
          <w:lang w:eastAsia="ru-RU"/>
        </w:rPr>
        <w:t xml:space="preserve">г. не планируется, в </w:t>
      </w:r>
      <w:proofErr w:type="gramStart"/>
      <w:r w:rsidRPr="00E728B6">
        <w:rPr>
          <w:rFonts w:eastAsia="Calibri" w:cs="Times New Roman"/>
          <w:szCs w:val="28"/>
          <w:lang w:eastAsia="ru-RU"/>
        </w:rPr>
        <w:t>связи</w:t>
      </w:r>
      <w:proofErr w:type="gramEnd"/>
      <w:r w:rsidRPr="00E728B6">
        <w:rPr>
          <w:rFonts w:eastAsia="Calibri" w:cs="Times New Roman"/>
          <w:szCs w:val="28"/>
          <w:lang w:eastAsia="ru-RU"/>
        </w:rPr>
        <w:t xml:space="preserve"> с чем обеспеченность населения библиотеками останется на уровне 201</w:t>
      </w:r>
      <w:r>
        <w:rPr>
          <w:rFonts w:eastAsia="Calibri" w:cs="Times New Roman"/>
          <w:szCs w:val="28"/>
          <w:lang w:eastAsia="ru-RU"/>
        </w:rPr>
        <w:t>6</w:t>
      </w:r>
      <w:r w:rsidRPr="00E728B6">
        <w:rPr>
          <w:rFonts w:eastAsia="Calibri" w:cs="Times New Roman"/>
          <w:szCs w:val="28"/>
          <w:lang w:eastAsia="ru-RU"/>
        </w:rPr>
        <w:t xml:space="preserve"> года.</w:t>
      </w:r>
    </w:p>
    <w:p w:rsidR="00637FB4" w:rsidRPr="00367667" w:rsidRDefault="00637FB4" w:rsidP="004D2808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367667">
        <w:rPr>
          <w:b/>
          <w:szCs w:val="28"/>
          <w:lang w:eastAsia="ru-RU"/>
        </w:rPr>
        <w:t>парками культуры и отдыха</w:t>
      </w:r>
    </w:p>
    <w:p w:rsidR="00637FB4" w:rsidRDefault="00637FB4" w:rsidP="004D280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территории города Астрахани функционирует муниципальное учреждение культуры Астраханский Дворец культуры «Аркадия» с прилегающим парком. Это составляет 5,6% от нормативной потребности, согласно которой в городе должно быть 18 парков (</w:t>
      </w:r>
      <w:r>
        <w:rPr>
          <w:rFonts w:eastAsia="Times New Roman"/>
          <w:spacing w:val="3"/>
          <w:szCs w:val="28"/>
          <w:lang w:eastAsia="ru-RU"/>
        </w:rPr>
        <w:t>согласно вышеуказанным методическим рекомендациям)</w:t>
      </w:r>
      <w:r>
        <w:rPr>
          <w:szCs w:val="28"/>
          <w:lang w:eastAsia="ru-RU"/>
        </w:rPr>
        <w:t>.</w:t>
      </w:r>
    </w:p>
    <w:p w:rsidR="00637FB4" w:rsidRDefault="00637FB4" w:rsidP="004D280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Обеспеченность населения парками культуры и отдыха в плановом периоде 2017-2019 гг. останется на уровне 2016 года в связи тем, что не планируется ликвидация парка «АДК «Аркадия» и строительство новых</w:t>
      </w:r>
      <w:r w:rsidR="00367667">
        <w:rPr>
          <w:szCs w:val="28"/>
          <w:lang w:eastAsia="ru-RU"/>
        </w:rPr>
        <w:t xml:space="preserve"> парков</w:t>
      </w:r>
      <w:r>
        <w:rPr>
          <w:szCs w:val="28"/>
          <w:lang w:eastAsia="ru-RU"/>
        </w:rPr>
        <w:t>.</w:t>
      </w:r>
    </w:p>
    <w:p w:rsidR="00637FB4" w:rsidRDefault="00637FB4" w:rsidP="00637FB4">
      <w:pPr>
        <w:ind w:firstLine="567"/>
        <w:jc w:val="both"/>
        <w:rPr>
          <w:rFonts w:eastAsia="Times New Roman"/>
          <w:b/>
          <w:szCs w:val="28"/>
          <w:highlight w:val="lightGray"/>
          <w:lang w:eastAsia="ru-RU"/>
        </w:rPr>
      </w:pPr>
    </w:p>
    <w:p w:rsidR="00637FB4" w:rsidRDefault="005C0C24" w:rsidP="004D2808">
      <w:pPr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21.</w:t>
      </w:r>
      <w:r w:rsidR="00637FB4">
        <w:rPr>
          <w:rFonts w:eastAsia="Times New Roman"/>
          <w:b/>
          <w:szCs w:val="28"/>
          <w:lang w:eastAsia="ru-RU"/>
        </w:rPr>
        <w:t>Доля муниципальных учреждений культуры, здания которых находятся  в аварийном состоянии или требуют капитального ремонта, в общем количестве муниципальных учреждений культуры.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Доля учреждений, находящихся в аварийном состоянии или требующих капитального ремонта, в 2016 году увеличилась на 2,02 </w:t>
      </w:r>
      <w:proofErr w:type="spellStart"/>
      <w:r>
        <w:rPr>
          <w:rFonts w:eastAsia="Times New Roman"/>
          <w:szCs w:val="28"/>
          <w:lang w:eastAsia="ru-RU"/>
        </w:rPr>
        <w:t>п.п</w:t>
      </w:r>
      <w:proofErr w:type="spellEnd"/>
      <w:r>
        <w:rPr>
          <w:rFonts w:eastAsia="Times New Roman"/>
          <w:szCs w:val="28"/>
          <w:lang w:eastAsia="ru-RU"/>
        </w:rPr>
        <w:t>. и составила 9,52%.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рост показателя повлияло увеличение количества зданий, состоящих на балансе муниципальных учреждений культуры (в 2015 году на балансе муниципальных учреждений было 40 здани</w:t>
      </w:r>
      <w:r w:rsidR="00367667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>, а в 2016 году – 42 здани</w:t>
      </w:r>
      <w:r w:rsidR="00367667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), а также увеличение количества зданий учреждений культуры, требующих ремонта (до 4-х по сравнению с 3-мя в 2015 году). 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Lucida Sans Unicode"/>
          <w:kern w:val="2"/>
          <w:szCs w:val="28"/>
          <w:lang w:eastAsia="hi-IN" w:bidi="hi-IN"/>
        </w:rPr>
        <w:t>Количество зданий учреждений культуры увеличилось в связи с закреплением в</w:t>
      </w:r>
      <w:r>
        <w:rPr>
          <w:rFonts w:eastAsia="Times New Roman"/>
          <w:szCs w:val="28"/>
          <w:lang w:eastAsia="ru-RU"/>
        </w:rPr>
        <w:t xml:space="preserve"> отчетном году 2-х зданий нежилого помещения №2 (по </w:t>
      </w:r>
      <w:r>
        <w:rPr>
          <w:szCs w:val="28"/>
        </w:rPr>
        <w:t xml:space="preserve">пер. Ст. Разина, 4) </w:t>
      </w:r>
      <w:r>
        <w:rPr>
          <w:rFonts w:eastAsia="Times New Roman"/>
          <w:szCs w:val="28"/>
          <w:lang w:eastAsia="ru-RU"/>
        </w:rPr>
        <w:t>и №075 (</w:t>
      </w:r>
      <w:r>
        <w:rPr>
          <w:szCs w:val="28"/>
        </w:rPr>
        <w:t>по ул. Коммунистической/ ул. Молодой Гвардии, 8/8, литер А)</w:t>
      </w:r>
      <w:r>
        <w:rPr>
          <w:color w:val="FF0000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на праве оперативного управления за муниципальными учреждениями культуры: детская музыкальная школа №4 и Астраханский Дворец культуры «Аркадия».</w:t>
      </w:r>
      <w:proofErr w:type="gramEnd"/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Одной из наиболее значимых проблем в деятельности учреждений культуры города Астрахани является износ материально-технической базы. 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состоянию на 01.01.2017 четыре здания муниципальных учреждений культуры требуют капитального ремонта: </w:t>
      </w:r>
    </w:p>
    <w:p w:rsidR="00637FB4" w:rsidRPr="00367667" w:rsidRDefault="00637FB4" w:rsidP="004D280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367667">
        <w:rPr>
          <w:rFonts w:eastAsia="Times New Roman"/>
          <w:szCs w:val="28"/>
          <w:lang w:eastAsia="ru-RU"/>
        </w:rPr>
        <w:t xml:space="preserve">библиотека - филиал № 14 ЦГБС (ул. Гагарина,  д. 51); </w:t>
      </w:r>
    </w:p>
    <w:p w:rsidR="00637FB4" w:rsidRPr="00367667" w:rsidRDefault="00637FB4" w:rsidP="004D280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367667">
        <w:rPr>
          <w:rFonts w:eastAsia="Times New Roman"/>
          <w:szCs w:val="28"/>
          <w:lang w:eastAsia="ru-RU"/>
        </w:rPr>
        <w:t xml:space="preserve">библиотека - филиал № 16 ЦГБС (ул. </w:t>
      </w:r>
      <w:proofErr w:type="spellStart"/>
      <w:r w:rsidRPr="00367667">
        <w:rPr>
          <w:rFonts w:eastAsia="Times New Roman"/>
          <w:szCs w:val="28"/>
          <w:lang w:eastAsia="ru-RU"/>
        </w:rPr>
        <w:t>Хибинская</w:t>
      </w:r>
      <w:proofErr w:type="spellEnd"/>
      <w:r w:rsidRPr="00367667">
        <w:rPr>
          <w:rFonts w:eastAsia="Times New Roman"/>
          <w:szCs w:val="28"/>
          <w:lang w:eastAsia="ru-RU"/>
        </w:rPr>
        <w:t>,  д. 43);</w:t>
      </w:r>
    </w:p>
    <w:p w:rsidR="00637FB4" w:rsidRPr="00367667" w:rsidRDefault="00637FB4" w:rsidP="004D280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367667">
        <w:rPr>
          <w:rFonts w:eastAsia="Times New Roman"/>
          <w:szCs w:val="28"/>
          <w:lang w:eastAsia="ru-RU"/>
        </w:rPr>
        <w:t>2 здания детской музыкальной школы №4 (пер. Степана Разина,4/ ул. Дзержинского, 2).</w:t>
      </w:r>
    </w:p>
    <w:p w:rsidR="00637FB4" w:rsidRDefault="00637FB4" w:rsidP="004D2808">
      <w:pPr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К 2017 году  планируется отремонтировать здание детской музыкальной школы №4 и включить в число зданий, которые требуют </w:t>
      </w:r>
      <w:r>
        <w:rPr>
          <w:szCs w:val="28"/>
        </w:rPr>
        <w:t>капитального ремонта, здание библиотеки-филиала № 19 (ул. Кирова, 51).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Таким образом, доля учреждений, находящихся в аварийном состоянии или требующих капитального ремонта, в общем количестве зданий муниципальных учреждений культуры в плановом периоде 201</w:t>
      </w:r>
      <w:r w:rsidR="0036766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-2019 гг. </w:t>
      </w:r>
      <w:r>
        <w:rPr>
          <w:szCs w:val="28"/>
          <w:lang w:eastAsia="ru-RU"/>
        </w:rPr>
        <w:t>останется на уровне 2016 года</w:t>
      </w:r>
      <w:r>
        <w:rPr>
          <w:rFonts w:eastAsia="Times New Roman"/>
          <w:szCs w:val="28"/>
          <w:lang w:eastAsia="ru-RU"/>
        </w:rPr>
        <w:t>.</w:t>
      </w:r>
    </w:p>
    <w:p w:rsidR="00733FAB" w:rsidRDefault="00733FAB" w:rsidP="00637FB4">
      <w:pPr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637FB4" w:rsidRDefault="00637FB4" w:rsidP="004D2808">
      <w:pPr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22.Доля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Сохранение объектов культурного наследия (памятников истории и культуры) является одним из важнейших направлений культурной политики муниципального образования. 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состоянию на 01.01.2017 в муниципальной собственности находятся 15 объектов культурного наследия, в их числе один памятник архитектуры в аварийном состоянии, требующи</w:t>
      </w:r>
      <w:r w:rsidR="00A25B49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реставрации либо консервации. Это «Дом Яковлева» по </w:t>
      </w:r>
      <w:r w:rsidR="005C0C24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>ул.</w:t>
      </w:r>
      <w:r w:rsidR="005C0C2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Набережная 1 Мая/Бэра/Челюскинцев, дом 58/9/31.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связи с тем, что реставрация или консервация зданий объектов культурного наследия в 2017-2019гг. не планируется, в данном периоде их доля останется на уровне 2016 года (6,67%). </w:t>
      </w:r>
    </w:p>
    <w:p w:rsidR="00637FB4" w:rsidRDefault="00637FB4" w:rsidP="00637FB4">
      <w:pPr>
        <w:suppressAutoHyphens/>
        <w:ind w:firstLine="709"/>
        <w:jc w:val="both"/>
        <w:rPr>
          <w:rFonts w:eastAsia="Times New Roman"/>
          <w:b/>
          <w:sz w:val="24"/>
          <w:szCs w:val="24"/>
          <w:highlight w:val="lightGray"/>
          <w:lang w:eastAsia="ar-SA"/>
        </w:rPr>
      </w:pPr>
    </w:p>
    <w:p w:rsidR="00637FB4" w:rsidRDefault="00637FB4" w:rsidP="004D280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Физическая культура и спорт</w:t>
      </w:r>
    </w:p>
    <w:p w:rsidR="00637FB4" w:rsidRDefault="00637FB4" w:rsidP="00637FB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637FB4" w:rsidRDefault="005C0C24" w:rsidP="004D2808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>
        <w:rPr>
          <w:rFonts w:eastAsia="Times New Roman"/>
          <w:b/>
          <w:spacing w:val="1"/>
          <w:szCs w:val="28"/>
          <w:lang w:eastAsia="ru-RU"/>
        </w:rPr>
        <w:t>23.</w:t>
      </w:r>
      <w:r w:rsidR="00637FB4">
        <w:rPr>
          <w:b/>
          <w:bCs/>
          <w:szCs w:val="28"/>
          <w:lang w:eastAsia="ru-RU"/>
        </w:rPr>
        <w:t>Доля населения, систематически занимающегося физической культурой и спортом.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Одним из направлений социальной политики администрации города является всестороннее и эффективное развитие физической культуры и спорта, нацеленное на формирование здорового образа жизни горожан, воспитание физически крепкого подрастающего поколения.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Доля населения, систематически занимающегося спортом, в 2016 году составила 42,98% от общей численности населения города. Рост данного показателя обусловлен увеличением количества школьников, занимающихся физической культурой на базе муниципальных образовательных организаций.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общеобразовательных учреждениях города выросло количество спортивных секций на 8% по сравнению с 2015 годом. Число занимающихся в них школьников возросло на 2697 человек.</w:t>
      </w:r>
    </w:p>
    <w:p w:rsidR="00637FB4" w:rsidRDefault="00637FB4" w:rsidP="004D28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2016 году было проведено 776 спортивно-массовых и физкультурно-оздоровительных мероприятий, в том числе официальных муниципальных чемпионатов, первенств, кубков по видам спорта (167), общегородских спортивных и физкультурных мероприятий (159). В спортивных и физкультурных мероприятиях приняло участие более 100 тыс. горожан.</w:t>
      </w:r>
    </w:p>
    <w:p w:rsidR="00637FB4" w:rsidRDefault="00637FB4" w:rsidP="004D2808">
      <w:pPr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увеличения численности населения, привлеченного к занятиям физической культурой и спортом, в 2017-2019 годах намечены следующие направления работы:</w:t>
      </w:r>
    </w:p>
    <w:p w:rsidR="00637FB4" w:rsidRDefault="00637FB4" w:rsidP="004D2808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Cs w:val="28"/>
          <w:lang w:eastAsia="ru-RU"/>
        </w:rPr>
        <w:t>реализация муниципальной программы «Развитие физической культуры и спорта на территории города Астрахани»;</w:t>
      </w:r>
    </w:p>
    <w:p w:rsidR="00637FB4" w:rsidRDefault="00637FB4" w:rsidP="004D2808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Cs w:val="28"/>
          <w:lang w:eastAsia="ru-RU"/>
        </w:rPr>
        <w:t xml:space="preserve">строительство спортивных площадок на базе муниципальных общеобразовательных учреждений совместно с министерством физической культуры и спорта Астраханской области; </w:t>
      </w:r>
    </w:p>
    <w:p w:rsidR="00637FB4" w:rsidRDefault="00637FB4" w:rsidP="004D2808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Cs w:val="28"/>
          <w:lang w:eastAsia="ru-RU"/>
        </w:rPr>
        <w:t>усиление работы школьных лиг по игровым видам спорта: футбол, волейбол, баскетбол;</w:t>
      </w:r>
    </w:p>
    <w:p w:rsidR="00637FB4" w:rsidRDefault="00637FB4" w:rsidP="004D2808">
      <w:pPr>
        <w:pStyle w:val="aa"/>
        <w:numPr>
          <w:ilvl w:val="0"/>
          <w:numId w:val="10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утверждение и реализация плана мероприятий по внедрению ВФСК «ГТО».</w:t>
      </w:r>
    </w:p>
    <w:p w:rsidR="00637FB4" w:rsidRDefault="00637FB4" w:rsidP="004D2808">
      <w:pPr>
        <w:ind w:firstLine="709"/>
        <w:jc w:val="both"/>
        <w:rPr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Таким образом, в 2017-2019 годах данный показатель </w:t>
      </w:r>
      <w:r>
        <w:rPr>
          <w:bCs/>
          <w:szCs w:val="28"/>
          <w:lang w:eastAsia="ru-RU"/>
        </w:rPr>
        <w:t>планируется удерживать на уровне 43,73% в связи с ростом среднегодовой численности населения, проживающего на территории города.</w:t>
      </w:r>
    </w:p>
    <w:p w:rsidR="000A484F" w:rsidRDefault="000A484F" w:rsidP="00637FB4">
      <w:pPr>
        <w:ind w:firstLine="567"/>
        <w:jc w:val="both"/>
        <w:rPr>
          <w:rFonts w:eastAsia="Calibri"/>
          <w:bCs/>
          <w:szCs w:val="28"/>
          <w:lang w:eastAsia="ru-RU"/>
        </w:rPr>
      </w:pPr>
    </w:p>
    <w:p w:rsidR="00464847" w:rsidRPr="00464847" w:rsidRDefault="00464847" w:rsidP="004D2808">
      <w:pPr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  <w:r w:rsidRPr="00464847">
        <w:rPr>
          <w:rFonts w:eastAsia="Calibri" w:cs="Times New Roman"/>
          <w:b/>
          <w:bCs/>
          <w:szCs w:val="28"/>
          <w:lang w:eastAsia="ru-RU"/>
        </w:rPr>
        <w:t xml:space="preserve">Доля </w:t>
      </w:r>
      <w:proofErr w:type="gramStart"/>
      <w:r w:rsidRPr="00464847">
        <w:rPr>
          <w:rFonts w:eastAsia="Calibri" w:cs="Times New Roman"/>
          <w:b/>
          <w:bCs/>
          <w:szCs w:val="28"/>
          <w:lang w:eastAsia="ru-RU"/>
        </w:rPr>
        <w:t>обучающихся</w:t>
      </w:r>
      <w:proofErr w:type="gramEnd"/>
      <w:r w:rsidRPr="00464847">
        <w:rPr>
          <w:rFonts w:eastAsia="Calibri" w:cs="Times New Roman"/>
          <w:b/>
          <w:bCs/>
          <w:szCs w:val="28"/>
          <w:lang w:eastAsia="ru-RU"/>
        </w:rPr>
        <w:t xml:space="preserve">, систематически занимающихся физической культурой и спортом, в общей численности обучающихся. </w:t>
      </w:r>
    </w:p>
    <w:p w:rsidR="00464847" w:rsidRPr="00464847" w:rsidRDefault="00464847" w:rsidP="004D280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64847">
        <w:rPr>
          <w:rFonts w:eastAsia="Times New Roman" w:cs="Times New Roman"/>
          <w:bCs/>
          <w:szCs w:val="28"/>
          <w:lang w:eastAsia="ru-RU"/>
        </w:rPr>
        <w:t>В 2016 году к занятиям физической культурой и спортом было привлечено 73,87% обучающихся образовательных организаций, расположенных на территории города Астрахани.</w:t>
      </w:r>
    </w:p>
    <w:p w:rsidR="00464847" w:rsidRPr="00464847" w:rsidRDefault="00464847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4847">
        <w:rPr>
          <w:rFonts w:eastAsia="Times New Roman" w:cs="Times New Roman"/>
          <w:szCs w:val="28"/>
          <w:lang w:eastAsia="ru-RU"/>
        </w:rPr>
        <w:t>В 2017 году планируется увеличение численности обучающихся, систематически занимающихся физической культурой и спортом до 46247 человек, что составит 75,52% от общей численности обучающихся.</w:t>
      </w:r>
    </w:p>
    <w:p w:rsidR="00464847" w:rsidRPr="00464847" w:rsidRDefault="00464847" w:rsidP="004D280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47">
        <w:rPr>
          <w:rFonts w:eastAsia="Times New Roman" w:cs="Times New Roman"/>
          <w:bCs/>
          <w:szCs w:val="28"/>
          <w:lang w:eastAsia="ru-RU"/>
        </w:rPr>
        <w:t>В целях развития школьного и массового спорта осуществляют свою работу Школьные лиги по наиболее массовым видам спорта: футболу, волейболу, баскетболу. Студенты высших и средних образовательных организаций привлекаются к участию в массовых городских соревнованиях и Фестивалях.</w:t>
      </w:r>
    </w:p>
    <w:p w:rsidR="00464847" w:rsidRPr="00464847" w:rsidRDefault="00464847" w:rsidP="004D280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64847">
        <w:rPr>
          <w:rFonts w:eastAsia="Times New Roman" w:cs="Times New Roman"/>
          <w:lang w:eastAsia="ru-RU"/>
        </w:rPr>
        <w:t xml:space="preserve">В настоящее время сформирована многоуровневая система проведения спортивных мероприятий среди различных групп и категорий обучающихся. </w:t>
      </w:r>
    </w:p>
    <w:p w:rsidR="00464847" w:rsidRPr="00464847" w:rsidRDefault="00464847" w:rsidP="004D2808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64847">
        <w:rPr>
          <w:rFonts w:eastAsia="Times New Roman" w:cs="Times New Roman"/>
          <w:bCs/>
          <w:szCs w:val="28"/>
          <w:lang w:eastAsia="ru-RU"/>
        </w:rPr>
        <w:t xml:space="preserve">Таким образом, в 2018-2019 гг. данный показатель </w:t>
      </w:r>
      <w:r w:rsidRPr="00464847">
        <w:rPr>
          <w:rFonts w:eastAsia="Calibri" w:cs="Times New Roman"/>
          <w:bCs/>
          <w:szCs w:val="28"/>
          <w:lang w:eastAsia="ru-RU"/>
        </w:rPr>
        <w:t>планируется удерживать на уровне 75,65%.</w:t>
      </w:r>
    </w:p>
    <w:p w:rsidR="00637FB4" w:rsidRDefault="00637FB4" w:rsidP="002A298A">
      <w:pPr>
        <w:ind w:firstLine="567"/>
        <w:jc w:val="center"/>
        <w:rPr>
          <w:rFonts w:eastAsia="Calibri" w:cs="Times New Roman"/>
          <w:b/>
          <w:szCs w:val="28"/>
        </w:rPr>
      </w:pPr>
    </w:p>
    <w:p w:rsidR="00602623" w:rsidRPr="00515C5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515C51">
        <w:rPr>
          <w:rFonts w:eastAsia="Calibri" w:cs="Times New Roman"/>
          <w:b/>
          <w:szCs w:val="28"/>
        </w:rPr>
        <w:t>Жилищное строительство и обеспечение граждан жильем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5635A3" w:rsidRPr="00515C51" w:rsidRDefault="005635A3" w:rsidP="004D2808">
      <w:pPr>
        <w:ind w:firstLine="709"/>
        <w:jc w:val="both"/>
        <w:rPr>
          <w:rFonts w:eastAsia="Calibri" w:cs="Times New Roman"/>
          <w:b/>
          <w:szCs w:val="28"/>
        </w:rPr>
      </w:pPr>
      <w:r w:rsidRPr="00515C51">
        <w:rPr>
          <w:rFonts w:eastAsia="Calibri" w:cs="Times New Roman"/>
          <w:b/>
          <w:szCs w:val="28"/>
        </w:rPr>
        <w:t>24.Общая площадь жилых помещений, приходящ</w:t>
      </w:r>
      <w:r w:rsidR="00515C51">
        <w:rPr>
          <w:rFonts w:eastAsia="Calibri" w:cs="Times New Roman"/>
          <w:b/>
          <w:szCs w:val="28"/>
        </w:rPr>
        <w:t>аяся в среднем на одного жителя.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Общая площадь жилых помещений, приходящаяся в среднем на 1 жителя (24,15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Pr="00515C51">
        <w:rPr>
          <w:rFonts w:eastAsia="Calibri" w:cs="Times New Roman"/>
          <w:sz w:val="28"/>
          <w:szCs w:val="28"/>
          <w:lang w:eastAsia="en-US"/>
        </w:rPr>
        <w:t xml:space="preserve">),  в 2016 году на 1,1% </w:t>
      </w:r>
      <w:r w:rsidR="00367667">
        <w:rPr>
          <w:rFonts w:eastAsia="Calibri" w:cs="Times New Roman"/>
          <w:sz w:val="28"/>
          <w:szCs w:val="28"/>
          <w:lang w:eastAsia="en-US"/>
        </w:rPr>
        <w:t>выше</w:t>
      </w:r>
      <w:r w:rsidRPr="00515C51">
        <w:rPr>
          <w:rFonts w:eastAsia="Calibri" w:cs="Times New Roman"/>
          <w:sz w:val="28"/>
          <w:szCs w:val="28"/>
          <w:lang w:eastAsia="en-US"/>
        </w:rPr>
        <w:t xml:space="preserve"> уровня прошлого года (23,88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).  В 2017, 2018, 2019 годах планируется рост данного показателя до 24,66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Pr="00515C51">
        <w:rPr>
          <w:rFonts w:eastAsia="Calibri" w:cs="Times New Roman"/>
          <w:sz w:val="28"/>
          <w:szCs w:val="28"/>
          <w:lang w:eastAsia="en-US"/>
        </w:rPr>
        <w:t xml:space="preserve">; 25,17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; 25,71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соответственно.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Общая площадь жилых помещений, приходящаяся на 1 жителя, введенная в действие за 2016 год, составляет 0,63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Pr="00515C51">
        <w:rPr>
          <w:rFonts w:eastAsia="Calibri" w:cs="Times New Roman"/>
          <w:sz w:val="28"/>
          <w:szCs w:val="28"/>
          <w:lang w:eastAsia="en-US"/>
        </w:rPr>
        <w:t xml:space="preserve">, что на 0,05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больше значения показателя 2015 года (0,58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).  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В 2017, 2018, 2019 годах планируется рост данного показателя до 0,64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="00367667">
        <w:rPr>
          <w:rFonts w:eastAsia="Calibri" w:cs="Times New Roman"/>
          <w:sz w:val="28"/>
          <w:szCs w:val="28"/>
          <w:lang w:eastAsia="en-US"/>
        </w:rPr>
        <w:t>,</w:t>
      </w:r>
      <w:r w:rsidRPr="00515C51">
        <w:rPr>
          <w:rFonts w:eastAsia="Calibri" w:cs="Times New Roman"/>
          <w:sz w:val="28"/>
          <w:szCs w:val="28"/>
          <w:lang w:eastAsia="en-US"/>
        </w:rPr>
        <w:t xml:space="preserve"> 0,65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="00367667">
        <w:rPr>
          <w:rFonts w:eastAsia="Calibri" w:cs="Times New Roman"/>
          <w:sz w:val="28"/>
          <w:szCs w:val="28"/>
          <w:lang w:eastAsia="en-US"/>
        </w:rPr>
        <w:t xml:space="preserve"> и </w:t>
      </w:r>
      <w:r w:rsidRPr="00515C51">
        <w:rPr>
          <w:rFonts w:eastAsia="Calibri" w:cs="Times New Roman"/>
          <w:sz w:val="28"/>
          <w:szCs w:val="28"/>
          <w:lang w:eastAsia="en-US"/>
        </w:rPr>
        <w:t xml:space="preserve">0,66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соответственно.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Рост данных показателей в 2016 году обусловлен увеличением объема строительства и ввода в эксплуатацию нового жилья – 334,6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Pr="00515C51">
        <w:rPr>
          <w:rFonts w:eastAsia="Calibri" w:cs="Times New Roman"/>
          <w:sz w:val="28"/>
          <w:szCs w:val="28"/>
          <w:lang w:eastAsia="en-US"/>
        </w:rPr>
        <w:t xml:space="preserve"> (109,3% по отношению к 2015 году), в том числе многоквартирные жилые дома – 164,60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(90,7%), индивидуальные жилые дома — 169,97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(136,3%).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При этом в 2016 году введен в эксплуатацию 21 многоквартирный жилой дом, общее количество квартир – 2661 </w:t>
      </w:r>
      <w:r w:rsidR="00F16D6C">
        <w:rPr>
          <w:rFonts w:eastAsia="Calibri" w:cs="Times New Roman"/>
          <w:sz w:val="28"/>
          <w:szCs w:val="28"/>
          <w:lang w:eastAsia="en-US"/>
        </w:rPr>
        <w:t>ед</w:t>
      </w:r>
      <w:r w:rsidRPr="00515C51">
        <w:rPr>
          <w:rFonts w:eastAsia="Calibri" w:cs="Times New Roman"/>
          <w:sz w:val="28"/>
          <w:szCs w:val="28"/>
          <w:lang w:eastAsia="en-US"/>
        </w:rPr>
        <w:t>.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В 2017-2019 годах по выданным разрешениям на строительство планируются к вводу в эксплуатацию 63 многоквартирных дома. </w:t>
      </w:r>
    </w:p>
    <w:p w:rsidR="00515C51" w:rsidRPr="00515C51" w:rsidRDefault="00515C51" w:rsidP="004D2808">
      <w:pPr>
        <w:pStyle w:val="22"/>
        <w:spacing w:after="0" w:line="240" w:lineRule="auto"/>
        <w:ind w:left="0"/>
        <w:rPr>
          <w:rFonts w:eastAsia="Calibri" w:cs="Times New Roman"/>
          <w:sz w:val="28"/>
          <w:szCs w:val="28"/>
          <w:lang w:eastAsia="en-US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Прогнозные объемы ввода жилья заказчиками-застройщиками составляют ориентировочно в 2017 году - 167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</w:t>
      </w:r>
      <w:proofErr w:type="gramStart"/>
      <w:r w:rsidRPr="00515C51">
        <w:rPr>
          <w:rFonts w:eastAsia="Calibri" w:cs="Times New Roman"/>
          <w:sz w:val="28"/>
          <w:szCs w:val="28"/>
          <w:lang w:eastAsia="en-US"/>
        </w:rPr>
        <w:t>.м</w:t>
      </w:r>
      <w:proofErr w:type="spellEnd"/>
      <w:proofErr w:type="gramEnd"/>
      <w:r w:rsidRPr="00515C51">
        <w:rPr>
          <w:rFonts w:eastAsia="Calibri" w:cs="Times New Roman"/>
          <w:sz w:val="28"/>
          <w:szCs w:val="28"/>
          <w:lang w:eastAsia="en-US"/>
        </w:rPr>
        <w:t xml:space="preserve"> жилья (101,5% к уровню 2016 года), в 2018 году -  169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жилья (102,7% к уровню 2016 года), в 2019 году -  174 тыс. </w:t>
      </w:r>
      <w:proofErr w:type="spellStart"/>
      <w:r w:rsidRPr="00515C51">
        <w:rPr>
          <w:rFonts w:eastAsia="Calibri" w:cs="Times New Roman"/>
          <w:sz w:val="28"/>
          <w:szCs w:val="28"/>
          <w:lang w:eastAsia="en-US"/>
        </w:rPr>
        <w:t>кв.м</w:t>
      </w:r>
      <w:proofErr w:type="spellEnd"/>
      <w:r w:rsidRPr="00515C51">
        <w:rPr>
          <w:rFonts w:eastAsia="Calibri" w:cs="Times New Roman"/>
          <w:sz w:val="28"/>
          <w:szCs w:val="28"/>
          <w:lang w:eastAsia="en-US"/>
        </w:rPr>
        <w:t xml:space="preserve"> жилья (105,7% к уровню 2016 года).</w:t>
      </w:r>
    </w:p>
    <w:p w:rsidR="005635A3" w:rsidRPr="00515C51" w:rsidRDefault="00515C51" w:rsidP="004D2808">
      <w:pPr>
        <w:pStyle w:val="22"/>
        <w:suppressAutoHyphens w:val="0"/>
        <w:spacing w:after="0" w:line="240" w:lineRule="auto"/>
        <w:ind w:left="0"/>
        <w:rPr>
          <w:bCs/>
          <w:color w:val="FF0000"/>
          <w:sz w:val="28"/>
          <w:szCs w:val="28"/>
        </w:rPr>
      </w:pPr>
      <w:r w:rsidRPr="00515C51">
        <w:rPr>
          <w:rFonts w:eastAsia="Calibri" w:cs="Times New Roman"/>
          <w:sz w:val="28"/>
          <w:szCs w:val="28"/>
          <w:lang w:eastAsia="en-US"/>
        </w:rPr>
        <w:t xml:space="preserve">Плановые показатели на 2017-2019 годы представлены с учётом статистических данных за 2013-2016 годы, разрешений на строительство, выданных управлением по строительству, архитектуре и градостроительству администрации </w:t>
      </w:r>
      <w:r w:rsidR="00367667">
        <w:rPr>
          <w:rFonts w:eastAsia="Calibri" w:cs="Times New Roman"/>
          <w:sz w:val="28"/>
          <w:szCs w:val="28"/>
          <w:lang w:eastAsia="en-US"/>
        </w:rPr>
        <w:t>муниципального образования</w:t>
      </w:r>
      <w:r w:rsidRPr="00515C51">
        <w:rPr>
          <w:rFonts w:eastAsia="Calibri" w:cs="Times New Roman"/>
          <w:sz w:val="28"/>
          <w:szCs w:val="28"/>
          <w:lang w:eastAsia="en-US"/>
        </w:rPr>
        <w:t xml:space="preserve"> «Город Астрахань», информации по прогнозному вводу жилья, представленной организациями-застройщиками, ожидаемых темпов роста объёмов жилищного строительства.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183EEC" w:rsidRPr="00261156" w:rsidRDefault="00183EEC" w:rsidP="004D2808">
      <w:pPr>
        <w:ind w:firstLine="709"/>
        <w:jc w:val="both"/>
        <w:rPr>
          <w:rFonts w:eastAsia="Calibri" w:cs="Times New Roman"/>
          <w:b/>
          <w:szCs w:val="28"/>
        </w:rPr>
      </w:pPr>
      <w:r w:rsidRPr="00261156">
        <w:rPr>
          <w:rFonts w:eastAsia="Calibri" w:cs="Times New Roman"/>
          <w:b/>
          <w:szCs w:val="28"/>
        </w:rPr>
        <w:t>25.Площадь земельных участков, предоставленных для строительства в расчете на 10 тысяч человек населения</w:t>
      </w:r>
      <w:r w:rsidR="00261156" w:rsidRPr="00261156">
        <w:rPr>
          <w:rFonts w:eastAsia="Calibri" w:cs="Times New Roman"/>
          <w:b/>
          <w:szCs w:val="28"/>
        </w:rPr>
        <w:t>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proofErr w:type="gramStart"/>
      <w:r w:rsidRPr="00261156">
        <w:rPr>
          <w:rFonts w:eastAsia="Calibri" w:cs="Times New Roman"/>
          <w:szCs w:val="28"/>
        </w:rPr>
        <w:t>Площадь земельных участков, предоставленных для строительства в расчете на 10 тыс. человек населения в 2016 году составила – 0,29 га (в 2015 году – 0,97 га),  в том числе для жилищного строительства, индивидуального жилищного строительства – 0,10 га (в 2015 году – 0,16 га), ), для иного строительства, кроме жилищного – 0,19 га (в 2015 году – 0,80 га)</w:t>
      </w:r>
      <w:proofErr w:type="gramEnd"/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Для комплексного освоения в целях жилищного строительства земельные участки не предоставлялись.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proofErr w:type="gramStart"/>
      <w:r w:rsidRPr="00261156">
        <w:rPr>
          <w:rFonts w:eastAsia="Calibri" w:cs="Times New Roman"/>
          <w:szCs w:val="28"/>
        </w:rPr>
        <w:t>Земельные участки для целей строительства были предоставлены в соответствии со ст.ст.39.11, 39.6, 39.8, 39.5 Земельного кодекса РФ,  со ст.34 Федерального закона от 23.06.2014 N 171-ФЗ (ред. от 29.12.2015) «О внесении изменений в Земельный кодекс Российской Федерации и отдельные законодательные акты Российской Федерации», а также на основании вступивших в силу судебных актов.</w:t>
      </w:r>
      <w:proofErr w:type="gramEnd"/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В 2016 году было проведено 10 аукционов на право заключения договоров аренды земельных участков, предметом которых являлась ежегодная арендная плата.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 xml:space="preserve">По результатам аукционов за отчетный год продано право аренды на 45 земельных участков общей площадью 30 098 </w:t>
      </w:r>
      <w:proofErr w:type="spellStart"/>
      <w:r w:rsidRPr="00261156">
        <w:rPr>
          <w:rFonts w:eastAsia="Calibri" w:cs="Times New Roman"/>
          <w:szCs w:val="28"/>
        </w:rPr>
        <w:t>кв</w:t>
      </w:r>
      <w:proofErr w:type="gramStart"/>
      <w:r w:rsidRPr="00261156">
        <w:rPr>
          <w:rFonts w:eastAsia="Calibri" w:cs="Times New Roman"/>
          <w:szCs w:val="28"/>
        </w:rPr>
        <w:t>.м</w:t>
      </w:r>
      <w:proofErr w:type="spellEnd"/>
      <w:proofErr w:type="gramEnd"/>
      <w:r w:rsidRPr="00261156">
        <w:rPr>
          <w:rFonts w:eastAsia="Calibri" w:cs="Times New Roman"/>
          <w:szCs w:val="28"/>
        </w:rPr>
        <w:t xml:space="preserve">, в том числе для индивидуального жилищного строительства – 10 300 </w:t>
      </w:r>
      <w:proofErr w:type="spellStart"/>
      <w:r w:rsidRPr="00261156">
        <w:rPr>
          <w:rFonts w:eastAsia="Calibri" w:cs="Times New Roman"/>
          <w:szCs w:val="28"/>
        </w:rPr>
        <w:t>кв.м</w:t>
      </w:r>
      <w:proofErr w:type="spellEnd"/>
      <w:r w:rsidRPr="00261156">
        <w:rPr>
          <w:rFonts w:eastAsia="Calibri" w:cs="Times New Roman"/>
          <w:szCs w:val="28"/>
        </w:rPr>
        <w:t>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Кроме того, площадь земельных участков по договорам аренды, заключенны</w:t>
      </w:r>
      <w:r w:rsidR="00367667">
        <w:rPr>
          <w:rFonts w:eastAsia="Calibri" w:cs="Times New Roman"/>
          <w:szCs w:val="28"/>
        </w:rPr>
        <w:t>м</w:t>
      </w:r>
      <w:r w:rsidRPr="00261156">
        <w:rPr>
          <w:rFonts w:eastAsia="Calibri" w:cs="Times New Roman"/>
          <w:szCs w:val="28"/>
        </w:rPr>
        <w:t xml:space="preserve"> в 2016 году для строительства объектов капитального строительства (кроме завершения строительства и жилищного строительства) составила 82 720 </w:t>
      </w:r>
      <w:proofErr w:type="spellStart"/>
      <w:r w:rsidRPr="00261156">
        <w:rPr>
          <w:rFonts w:eastAsia="Calibri" w:cs="Times New Roman"/>
          <w:szCs w:val="28"/>
        </w:rPr>
        <w:t>кв.м</w:t>
      </w:r>
      <w:proofErr w:type="spellEnd"/>
      <w:r w:rsidRPr="00261156">
        <w:rPr>
          <w:rFonts w:eastAsia="Calibri" w:cs="Times New Roman"/>
          <w:szCs w:val="28"/>
        </w:rPr>
        <w:t>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В соответствии с договорами о развитии застроенной территории в границах муниципального образования «Город Астрахань» юридическим лицам бесплатно в собственность для жилищного строительства предоставлено 3 земельных участка общей площадью 8</w:t>
      </w:r>
      <w:r w:rsidR="00367667">
        <w:rPr>
          <w:rFonts w:eastAsia="Calibri" w:cs="Times New Roman"/>
          <w:szCs w:val="28"/>
        </w:rPr>
        <w:t xml:space="preserve"> </w:t>
      </w:r>
      <w:r w:rsidRPr="00261156">
        <w:rPr>
          <w:rFonts w:eastAsia="Calibri" w:cs="Times New Roman"/>
          <w:szCs w:val="28"/>
        </w:rPr>
        <w:t xml:space="preserve">430 </w:t>
      </w:r>
      <w:proofErr w:type="spellStart"/>
      <w:r w:rsidRPr="00261156">
        <w:rPr>
          <w:rFonts w:eastAsia="Calibri" w:cs="Times New Roman"/>
          <w:szCs w:val="28"/>
        </w:rPr>
        <w:t>кв.м</w:t>
      </w:r>
      <w:proofErr w:type="spellEnd"/>
      <w:r w:rsidRPr="00261156">
        <w:rPr>
          <w:rFonts w:eastAsia="Calibri" w:cs="Times New Roman"/>
          <w:szCs w:val="28"/>
        </w:rPr>
        <w:t>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Динамика показателей по продаже права аренды земельных участков на аукционах 2016 года по отношению к 2015 году указывает на уменьшение общей площади участков на 52%. Уменьшение показателей связано с продажей в 2016 году земельных участков незначительной площади.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 xml:space="preserve">Также проводилась работа по предоставлению земельных участков на территории города Астрахани льготной категории граждан в соответствии с Законом Астраханской области №7/2008-ОЗ от 04.03.2008 «Об отдельных вопросах правового регулирования земельных отношений в Астраханской области». 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В целях соблюдения очередности при предоставлении земельных участков, ведутся списки учета граждан, имеющих право на бесплатное предоставление земельных участков.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 xml:space="preserve"> За отчетный период было предоставлено:</w:t>
      </w:r>
    </w:p>
    <w:p w:rsidR="00261156" w:rsidRPr="00BB29DB" w:rsidRDefault="00261156" w:rsidP="004D280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B29DB">
        <w:rPr>
          <w:rFonts w:eastAsia="Calibri" w:cs="Times New Roman"/>
          <w:szCs w:val="28"/>
        </w:rPr>
        <w:t xml:space="preserve">55 земельных участков для индивидуального жилищного строительства, </w:t>
      </w:r>
    </w:p>
    <w:p w:rsidR="00261156" w:rsidRPr="00BB29DB" w:rsidRDefault="00261156" w:rsidP="004D280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B29DB">
        <w:rPr>
          <w:rFonts w:eastAsia="Calibri" w:cs="Times New Roman"/>
          <w:szCs w:val="28"/>
        </w:rPr>
        <w:t>136 земельных участков для садоводства.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 xml:space="preserve">В общей сложности для индивидуального жилищного строительства льготной категории граждан бесплатно в собственность была предоставлена территория площадью  32 775 </w:t>
      </w:r>
      <w:proofErr w:type="spellStart"/>
      <w:r w:rsidRPr="00261156">
        <w:rPr>
          <w:rFonts w:eastAsia="Calibri" w:cs="Times New Roman"/>
          <w:szCs w:val="28"/>
        </w:rPr>
        <w:t>кв.м</w:t>
      </w:r>
      <w:proofErr w:type="spellEnd"/>
      <w:r w:rsidRPr="00261156">
        <w:rPr>
          <w:rFonts w:eastAsia="Calibri" w:cs="Times New Roman"/>
          <w:szCs w:val="28"/>
        </w:rPr>
        <w:t xml:space="preserve">. 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Согласно прогнозному плану площадь земельных участков, запланированных для  предоставления под строительство на 2017, 2018 и 2019 годы составляет 24,25 га,  24,50 га и 25,00 га соответственно.</w:t>
      </w:r>
    </w:p>
    <w:p w:rsidR="00261156" w:rsidRPr="00261156" w:rsidRDefault="00261156" w:rsidP="004D2808">
      <w:pPr>
        <w:ind w:firstLine="709"/>
        <w:jc w:val="both"/>
        <w:rPr>
          <w:rFonts w:eastAsia="Calibri" w:cs="Times New Roman"/>
          <w:szCs w:val="28"/>
        </w:rPr>
      </w:pPr>
      <w:r w:rsidRPr="00261156">
        <w:rPr>
          <w:rFonts w:eastAsia="Calibri" w:cs="Times New Roman"/>
          <w:szCs w:val="28"/>
        </w:rPr>
        <w:t>Существенное увеличение планируемой площади предоставляемых земельных участков не представляется возможным по следующим причинам:</w:t>
      </w:r>
    </w:p>
    <w:p w:rsidR="00261156" w:rsidRPr="00BB29DB" w:rsidRDefault="00261156" w:rsidP="004D280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B29DB">
        <w:rPr>
          <w:rFonts w:eastAsia="Calibri" w:cs="Times New Roman"/>
          <w:szCs w:val="28"/>
        </w:rPr>
        <w:t>дефицит земельных участков на территории города Астрахани, свободных от прав третьих лиц, для последующего формирования и предоставления на торгах;</w:t>
      </w:r>
    </w:p>
    <w:p w:rsidR="00261156" w:rsidRPr="00BB29DB" w:rsidRDefault="00261156" w:rsidP="004D280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B29DB">
        <w:rPr>
          <w:rFonts w:eastAsia="Calibri" w:cs="Times New Roman"/>
          <w:szCs w:val="28"/>
        </w:rPr>
        <w:t>сокращение свободной территории муниципального образования «Город Астрахань»;</w:t>
      </w:r>
    </w:p>
    <w:p w:rsidR="00261156" w:rsidRPr="00BB29DB" w:rsidRDefault="00261156" w:rsidP="004D280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B29DB">
        <w:rPr>
          <w:rFonts w:eastAsia="Calibri" w:cs="Times New Roman"/>
          <w:szCs w:val="28"/>
        </w:rPr>
        <w:t>отсутствие коммерчески-привлекательных земельных участков, сформированных для продажи с аукционов;</w:t>
      </w:r>
    </w:p>
    <w:p w:rsidR="00183EEC" w:rsidRPr="00BB29DB" w:rsidRDefault="00261156" w:rsidP="004D280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 w:cs="Times New Roman"/>
          <w:color w:val="FF0000"/>
          <w:szCs w:val="28"/>
        </w:rPr>
      </w:pPr>
      <w:r w:rsidRPr="00BB29DB">
        <w:rPr>
          <w:rFonts w:eastAsia="Calibri" w:cs="Times New Roman"/>
          <w:szCs w:val="28"/>
        </w:rPr>
        <w:t>экономическая нестабильность, вследствие чего сниж</w:t>
      </w:r>
      <w:r w:rsidR="00BB29DB">
        <w:rPr>
          <w:rFonts w:eastAsia="Calibri" w:cs="Times New Roman"/>
          <w:szCs w:val="28"/>
        </w:rPr>
        <w:t xml:space="preserve">ается </w:t>
      </w:r>
      <w:r w:rsidRPr="00BB29DB">
        <w:rPr>
          <w:rFonts w:eastAsia="Calibri" w:cs="Times New Roman"/>
          <w:szCs w:val="28"/>
        </w:rPr>
        <w:t>заинтересованност</w:t>
      </w:r>
      <w:r w:rsidR="00BB29DB">
        <w:rPr>
          <w:rFonts w:eastAsia="Calibri" w:cs="Times New Roman"/>
          <w:szCs w:val="28"/>
        </w:rPr>
        <w:t>ь</w:t>
      </w:r>
      <w:r w:rsidRPr="00BB29DB">
        <w:rPr>
          <w:rFonts w:eastAsia="Calibri" w:cs="Times New Roman"/>
          <w:szCs w:val="28"/>
        </w:rPr>
        <w:t xml:space="preserve"> потенциальных инвесторов, готовых вложить денежные средства в приобретение земельных участков для дальнейшего развития бизнеса.</w:t>
      </w:r>
      <w:r w:rsidR="00183EEC" w:rsidRPr="00BB29DB">
        <w:rPr>
          <w:rFonts w:eastAsia="Calibri" w:cs="Times New Roman"/>
          <w:color w:val="FF0000"/>
          <w:szCs w:val="28"/>
        </w:rPr>
        <w:t xml:space="preserve"> 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692187" w:rsidRPr="0097039B" w:rsidRDefault="00692187" w:rsidP="004D2808">
      <w:pPr>
        <w:ind w:firstLine="709"/>
        <w:jc w:val="both"/>
        <w:rPr>
          <w:b/>
          <w:szCs w:val="28"/>
        </w:rPr>
      </w:pPr>
      <w:r w:rsidRPr="0097039B">
        <w:rPr>
          <w:b/>
          <w:szCs w:val="28"/>
        </w:rPr>
        <w:t xml:space="preserve">26.Площадь земельных участков, предоставленных для строительства, в отношении которых </w:t>
      </w:r>
      <w:proofErr w:type="gramStart"/>
      <w:r w:rsidRPr="0097039B">
        <w:rPr>
          <w:b/>
          <w:szCs w:val="28"/>
        </w:rPr>
        <w:t>с даты принятия</w:t>
      </w:r>
      <w:proofErr w:type="gramEnd"/>
      <w:r w:rsidRPr="0097039B">
        <w:rPr>
          <w:b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535FC">
        <w:rPr>
          <w:b/>
          <w:szCs w:val="28"/>
        </w:rPr>
        <w:t>:</w:t>
      </w:r>
    </w:p>
    <w:p w:rsidR="004535FC" w:rsidRPr="004535FC" w:rsidRDefault="004535FC" w:rsidP="004D280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b/>
          <w:szCs w:val="28"/>
        </w:rPr>
        <w:t>объектов жилищного строительства – в течение 3 лет</w:t>
      </w:r>
      <w:r w:rsidRPr="004535FC">
        <w:rPr>
          <w:szCs w:val="28"/>
        </w:rPr>
        <w:t xml:space="preserve"> составила в 2016 году 0 </w:t>
      </w:r>
      <w:proofErr w:type="spellStart"/>
      <w:r w:rsidRPr="004535FC">
        <w:rPr>
          <w:szCs w:val="28"/>
        </w:rPr>
        <w:t>кв.м</w:t>
      </w:r>
      <w:proofErr w:type="spellEnd"/>
      <w:r w:rsidRPr="004535FC">
        <w:rPr>
          <w:szCs w:val="28"/>
        </w:rPr>
        <w:t xml:space="preserve">. (0 </w:t>
      </w:r>
      <w:proofErr w:type="spellStart"/>
      <w:r w:rsidRPr="004535FC">
        <w:rPr>
          <w:szCs w:val="28"/>
        </w:rPr>
        <w:t>кв.м</w:t>
      </w:r>
      <w:proofErr w:type="spellEnd"/>
      <w:r w:rsidRPr="004535FC">
        <w:rPr>
          <w:szCs w:val="28"/>
        </w:rPr>
        <w:t>. – в 2015 году);</w:t>
      </w:r>
    </w:p>
    <w:p w:rsidR="004535FC" w:rsidRDefault="004535FC" w:rsidP="004D280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b/>
          <w:szCs w:val="28"/>
        </w:rPr>
        <w:t>иных объектов капитального строительства</w:t>
      </w:r>
      <w:r>
        <w:rPr>
          <w:szCs w:val="28"/>
        </w:rPr>
        <w:t xml:space="preserve"> – </w:t>
      </w:r>
      <w:r w:rsidRPr="004535FC">
        <w:rPr>
          <w:b/>
          <w:szCs w:val="28"/>
        </w:rPr>
        <w:t>в течение 5 лет</w:t>
      </w:r>
      <w:r>
        <w:rPr>
          <w:szCs w:val="28"/>
        </w:rPr>
        <w:t xml:space="preserve"> составила в 2016 году 150 000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(163 748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– в 2015 году).</w:t>
      </w:r>
    </w:p>
    <w:p w:rsidR="004535FC" w:rsidRPr="004535FC" w:rsidRDefault="004535FC" w:rsidP="004D2808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szCs w:val="28"/>
        </w:rPr>
        <w:t>В плановом трехлетнем периоде площадь земельных участков, предоставленных  для объектов жилищного строительства, которые не были введены в эксплуатацию в течение 3 лет, останется на уровне 2016 года.</w:t>
      </w:r>
      <w:r w:rsidR="00F40378">
        <w:rPr>
          <w:szCs w:val="28"/>
        </w:rPr>
        <w:t xml:space="preserve"> Площадь земельных участков, предоставленных для иных </w:t>
      </w:r>
      <w:r w:rsidR="00F40378" w:rsidRPr="00F40378">
        <w:rPr>
          <w:szCs w:val="28"/>
        </w:rPr>
        <w:t>объектов капитального строительства</w:t>
      </w:r>
      <w:r w:rsidR="00F40378">
        <w:rPr>
          <w:szCs w:val="28"/>
        </w:rPr>
        <w:t>,</w:t>
      </w:r>
      <w:r w:rsidR="00F40378" w:rsidRPr="00F40378">
        <w:rPr>
          <w:szCs w:val="28"/>
        </w:rPr>
        <w:t xml:space="preserve"> которые не </w:t>
      </w:r>
      <w:proofErr w:type="gramStart"/>
      <w:r w:rsidR="00F40378" w:rsidRPr="00F40378">
        <w:rPr>
          <w:szCs w:val="28"/>
        </w:rPr>
        <w:t>были введены в эксплуатацию в течение 5 лет</w:t>
      </w:r>
      <w:r w:rsidR="00F40378">
        <w:rPr>
          <w:szCs w:val="28"/>
        </w:rPr>
        <w:t xml:space="preserve"> также прогнозируется</w:t>
      </w:r>
      <w:proofErr w:type="gramEnd"/>
      <w:r w:rsidR="00F40378">
        <w:rPr>
          <w:szCs w:val="28"/>
        </w:rPr>
        <w:t xml:space="preserve"> на уровне 2016 года. Это обусловлено тем, что </w:t>
      </w:r>
      <w:r w:rsidR="00F40378" w:rsidRPr="00F40378">
        <w:rPr>
          <w:szCs w:val="28"/>
        </w:rPr>
        <w:t>завершение строительства торгово-развлекательного комплекса «АСТРАПАРК» по ул.</w:t>
      </w:r>
      <w:r w:rsidR="00F40378">
        <w:rPr>
          <w:szCs w:val="28"/>
        </w:rPr>
        <w:t xml:space="preserve"> </w:t>
      </w:r>
      <w:r w:rsidR="00F40378" w:rsidRPr="00F40378">
        <w:rPr>
          <w:szCs w:val="28"/>
        </w:rPr>
        <w:t xml:space="preserve">Аэропортовское шоссе </w:t>
      </w:r>
      <w:r w:rsidR="00F40378">
        <w:rPr>
          <w:szCs w:val="28"/>
        </w:rPr>
        <w:t>не планируется в 2017-2019 годах.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Информация подготовлена по разрешениям на строительство, на ввод объектов капитального строительства в эксплуатацию, выданным управлением по строительству, архитектуре и градостроительству администрации </w:t>
      </w:r>
      <w:r w:rsidR="00BB29DB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Астрахань», кроме объектов индивидуального жилищного строительства, с учётом представленных заказчиками-застройщиками правовых документов о предоставлении земельных участках в целях строительства за указанные периоды. </w:t>
      </w:r>
    </w:p>
    <w:p w:rsidR="00692187" w:rsidRPr="0097039B" w:rsidRDefault="0097039B" w:rsidP="004D2808">
      <w:pPr>
        <w:ind w:firstLine="709"/>
        <w:jc w:val="both"/>
        <w:rPr>
          <w:bCs/>
          <w:szCs w:val="28"/>
        </w:rPr>
      </w:pPr>
      <w:r w:rsidRPr="0097039B">
        <w:rPr>
          <w:szCs w:val="28"/>
        </w:rPr>
        <w:t xml:space="preserve">Осуществление </w:t>
      </w:r>
      <w:proofErr w:type="gramStart"/>
      <w:r w:rsidRPr="0097039B">
        <w:rPr>
          <w:szCs w:val="28"/>
        </w:rPr>
        <w:t>контроля за</w:t>
      </w:r>
      <w:proofErr w:type="gramEnd"/>
      <w:r w:rsidRPr="0097039B">
        <w:rPr>
          <w:szCs w:val="28"/>
        </w:rPr>
        <w:t xml:space="preserve"> соблюдением нормативных сроков освоения земельных участков, предоставленных под строительство объектов капитального строительства, с целью сокращения периода от момента предоставления земельного участка до завершения его освоения (строительства), ведётся согласно Положению о муниципальном земельном контроле на территории </w:t>
      </w:r>
      <w:r w:rsidR="004535FC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Астрахань», утверждённому постановлением администрации города Астрахани от 19.08.2011 </w:t>
      </w:r>
      <w:r w:rsidR="004535FC">
        <w:rPr>
          <w:szCs w:val="28"/>
        </w:rPr>
        <w:t>№</w:t>
      </w:r>
      <w:r w:rsidRPr="0097039B">
        <w:rPr>
          <w:szCs w:val="28"/>
        </w:rPr>
        <w:t>7450.</w:t>
      </w:r>
    </w:p>
    <w:p w:rsidR="006D427D" w:rsidRPr="00A7096F" w:rsidRDefault="006D427D" w:rsidP="002A298A">
      <w:pPr>
        <w:ind w:firstLine="567"/>
        <w:rPr>
          <w:color w:val="FF0000"/>
        </w:rPr>
      </w:pPr>
    </w:p>
    <w:p w:rsidR="00602623" w:rsidRPr="00D30F8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D30F81">
        <w:rPr>
          <w:rFonts w:eastAsia="Calibri" w:cs="Times New Roman"/>
          <w:b/>
          <w:szCs w:val="28"/>
        </w:rPr>
        <w:t>Жилищно-коммунальное хозяйство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30F81">
        <w:rPr>
          <w:rFonts w:eastAsia="Times New Roman" w:cs="Times New Roman"/>
          <w:b/>
          <w:szCs w:val="28"/>
          <w:lang w:eastAsia="ru-RU"/>
        </w:rPr>
        <w:t>27.Доля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</w:r>
    </w:p>
    <w:p w:rsidR="00D30F81" w:rsidRPr="00D30F81" w:rsidRDefault="00D30F81" w:rsidP="004D2808">
      <w:pPr>
        <w:ind w:firstLine="709"/>
        <w:jc w:val="both"/>
        <w:rPr>
          <w:rFonts w:eastAsia="Calibri"/>
          <w:szCs w:val="28"/>
          <w:highlight w:val="yellow"/>
        </w:rPr>
      </w:pPr>
      <w:r w:rsidRPr="00D30F81">
        <w:rPr>
          <w:rFonts w:eastAsia="Calibri"/>
          <w:szCs w:val="28"/>
        </w:rPr>
        <w:t>На 31.12.2016 число многоквартирных домов (МКД) на территории города составило 11</w:t>
      </w:r>
      <w:r w:rsidR="00F40378">
        <w:rPr>
          <w:rFonts w:eastAsia="Calibri"/>
          <w:szCs w:val="28"/>
        </w:rPr>
        <w:t xml:space="preserve"> </w:t>
      </w:r>
      <w:r w:rsidRPr="00D30F81">
        <w:rPr>
          <w:rFonts w:eastAsia="Calibri"/>
          <w:szCs w:val="28"/>
        </w:rPr>
        <w:t>348 ед., в том числе 5</w:t>
      </w:r>
      <w:r w:rsidR="00F40378">
        <w:rPr>
          <w:rFonts w:eastAsia="Calibri"/>
          <w:szCs w:val="28"/>
        </w:rPr>
        <w:t xml:space="preserve"> </w:t>
      </w:r>
      <w:r w:rsidRPr="00D30F81">
        <w:rPr>
          <w:rFonts w:eastAsia="Calibri"/>
          <w:szCs w:val="28"/>
        </w:rPr>
        <w:t>198 ед. неблокированной застройки.</w:t>
      </w:r>
    </w:p>
    <w:p w:rsidR="00D30F81" w:rsidRPr="00D30F81" w:rsidRDefault="00D30F81" w:rsidP="004D2808">
      <w:pPr>
        <w:ind w:firstLine="709"/>
        <w:jc w:val="both"/>
        <w:rPr>
          <w:rFonts w:eastAsia="Calibri"/>
          <w:szCs w:val="28"/>
        </w:rPr>
      </w:pPr>
      <w:r w:rsidRPr="00D30F81">
        <w:rPr>
          <w:szCs w:val="28"/>
        </w:rPr>
        <w:t>В соответствии с п. 2 ст. 161 Жилищного кодекса РФ от 29.12.2004 г. № 188-ФЗ (ред. от 28.12.2016 г.) собственники помещений в многоквартирном доме обязаны  выбрать один из способов управления многоквартирным домом.</w:t>
      </w:r>
    </w:p>
    <w:p w:rsidR="00D30F81" w:rsidRPr="00D30F81" w:rsidRDefault="00D30F81" w:rsidP="004D2808">
      <w:pPr>
        <w:ind w:firstLine="709"/>
        <w:jc w:val="both"/>
        <w:rPr>
          <w:rFonts w:eastAsia="Calibri"/>
          <w:szCs w:val="28"/>
        </w:rPr>
      </w:pPr>
      <w:r w:rsidRPr="00D30F81">
        <w:rPr>
          <w:rFonts w:eastAsia="Calibri"/>
          <w:szCs w:val="28"/>
        </w:rPr>
        <w:t>В соответствии с Жилищным Кодексом РФ администрацией города решались задачи оказания содействия собственникам помещений многоквартирных домов муниципального образования «Город Астрахань» в выборе способа управления многоквартирным домами.</w:t>
      </w:r>
      <w:r w:rsidRPr="00D30F81">
        <w:rPr>
          <w:szCs w:val="28"/>
        </w:rPr>
        <w:t xml:space="preserve"> </w:t>
      </w:r>
      <w:proofErr w:type="gramStart"/>
      <w:r w:rsidRPr="00D30F81">
        <w:rPr>
          <w:rFonts w:eastAsia="Calibri"/>
          <w:szCs w:val="28"/>
        </w:rPr>
        <w:t>Количество МКД,  управление которыми осуществляют собственники помещений, в 2016 году по сравнению с 2015 годом осталось неизменным (5089 ед.).</w:t>
      </w:r>
      <w:proofErr w:type="gramEnd"/>
      <w:r w:rsidRPr="00D30F81">
        <w:rPr>
          <w:rFonts w:eastAsia="Calibri"/>
          <w:szCs w:val="28"/>
        </w:rPr>
        <w:t xml:space="preserve"> При этом произошло уменьшение общего количества многоквартирных домов, собственники помещений в которых должны выбрать способ управления данными домами, в результате </w:t>
      </w:r>
      <w:proofErr w:type="gramStart"/>
      <w:r w:rsidRPr="00D30F81">
        <w:rPr>
          <w:rFonts w:eastAsia="Calibri"/>
          <w:szCs w:val="28"/>
        </w:rPr>
        <w:t>превышения темпа роста сноса многоквартирных жилых домов</w:t>
      </w:r>
      <w:proofErr w:type="gramEnd"/>
      <w:r w:rsidRPr="00D30F81">
        <w:rPr>
          <w:rFonts w:eastAsia="Calibri"/>
          <w:szCs w:val="28"/>
        </w:rPr>
        <w:t xml:space="preserve"> над темпом роста строительства. </w:t>
      </w:r>
      <w:r w:rsidRPr="00D30F81">
        <w:rPr>
          <w:szCs w:val="28"/>
        </w:rPr>
        <w:t xml:space="preserve">В результате доля </w:t>
      </w:r>
      <w:r w:rsidRPr="00D30F81">
        <w:rPr>
          <w:rFonts w:eastAsia="Calibri"/>
          <w:szCs w:val="28"/>
        </w:rPr>
        <w:t>МКД, где собственники выбрали и осуществляют один из способов управления, в 2016 году составила 97,90%.</w:t>
      </w:r>
    </w:p>
    <w:p w:rsidR="00D30F81" w:rsidRPr="00D30F81" w:rsidRDefault="00D30F81" w:rsidP="004D2808">
      <w:pPr>
        <w:ind w:firstLine="709"/>
        <w:jc w:val="both"/>
        <w:rPr>
          <w:rFonts w:cs="Times New Roman"/>
          <w:szCs w:val="28"/>
        </w:rPr>
      </w:pPr>
      <w:r w:rsidRPr="00D30F81">
        <w:rPr>
          <w:rFonts w:cs="Times New Roman"/>
          <w:szCs w:val="28"/>
        </w:rPr>
        <w:t>В 2017-2019 гг. планируется сохранить долю на уровне 100% за счет оптимизации работы Консультативных центров, созданных во всех районных администрациях города, по выбору формы управления по каждому МКД.</w:t>
      </w:r>
    </w:p>
    <w:p w:rsidR="00D06B7D" w:rsidRPr="00A7096F" w:rsidRDefault="00D06B7D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30F81">
        <w:rPr>
          <w:rFonts w:eastAsia="Times New Roman" w:cs="Times New Roman"/>
          <w:b/>
          <w:szCs w:val="28"/>
          <w:lang w:eastAsia="ru-RU"/>
        </w:rPr>
        <w:t>28.Доля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30F81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D30F81">
        <w:rPr>
          <w:rFonts w:eastAsia="Times New Roman" w:cs="Times New Roman"/>
          <w:b/>
          <w:szCs w:val="28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0F81">
        <w:rPr>
          <w:rFonts w:eastAsia="Times New Roman" w:cs="Times New Roman"/>
          <w:szCs w:val="28"/>
          <w:lang w:eastAsia="ru-RU"/>
        </w:rPr>
        <w:t xml:space="preserve">В 2016 году данный показатель по сравнению с 2015 годом остался неизменным и составил 93,55%. </w:t>
      </w: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30F81">
        <w:rPr>
          <w:rFonts w:eastAsia="Times New Roman" w:cs="Times New Roman"/>
          <w:szCs w:val="28"/>
          <w:lang w:eastAsia="ru-RU"/>
        </w:rPr>
        <w:t>Таким образом, из 31 предприятия, предоставляющ</w:t>
      </w:r>
      <w:r w:rsidR="00F40378">
        <w:rPr>
          <w:rFonts w:eastAsia="Times New Roman" w:cs="Times New Roman"/>
          <w:szCs w:val="28"/>
          <w:lang w:eastAsia="ru-RU"/>
        </w:rPr>
        <w:t>его</w:t>
      </w:r>
      <w:r w:rsidRPr="00D30F81">
        <w:rPr>
          <w:rFonts w:eastAsia="Times New Roman" w:cs="Times New Roman"/>
          <w:szCs w:val="28"/>
          <w:lang w:eastAsia="ru-RU"/>
        </w:rPr>
        <w:t xml:space="preserve"> коммунальные услуги населению г. Астрахани, 29 предприятий являются частными, </w:t>
      </w:r>
      <w:r w:rsidR="00F40378">
        <w:rPr>
          <w:rFonts w:eastAsia="Times New Roman" w:cs="Times New Roman"/>
          <w:szCs w:val="28"/>
          <w:lang w:eastAsia="ru-RU"/>
        </w:rPr>
        <w:t>2</w:t>
      </w:r>
      <w:r w:rsidRPr="00D30F81">
        <w:rPr>
          <w:rFonts w:eastAsia="Times New Roman" w:cs="Times New Roman"/>
          <w:szCs w:val="28"/>
          <w:lang w:eastAsia="ru-RU"/>
        </w:rPr>
        <w:t xml:space="preserve"> предприятия – муниципальными </w:t>
      </w:r>
      <w:r w:rsidR="00F40378">
        <w:rPr>
          <w:rFonts w:eastAsia="Times New Roman" w:cs="Times New Roman"/>
          <w:szCs w:val="28"/>
          <w:lang w:eastAsia="ru-RU"/>
        </w:rPr>
        <w:t>(</w:t>
      </w:r>
      <w:r w:rsidRPr="00D30F81">
        <w:rPr>
          <w:rFonts w:eastAsia="Times New Roman" w:cs="Times New Roman"/>
          <w:szCs w:val="28"/>
          <w:lang w:eastAsia="ru-RU"/>
        </w:rPr>
        <w:t>МУП г. Астрахани «</w:t>
      </w:r>
      <w:proofErr w:type="spellStart"/>
      <w:r w:rsidRPr="00D30F81">
        <w:rPr>
          <w:rFonts w:eastAsia="Times New Roman" w:cs="Times New Roman"/>
          <w:szCs w:val="28"/>
          <w:lang w:eastAsia="ru-RU"/>
        </w:rPr>
        <w:t>Астрводоканал</w:t>
      </w:r>
      <w:proofErr w:type="spellEnd"/>
      <w:r w:rsidRPr="00D30F81">
        <w:rPr>
          <w:rFonts w:eastAsia="Times New Roman" w:cs="Times New Roman"/>
          <w:szCs w:val="28"/>
          <w:lang w:eastAsia="ru-RU"/>
        </w:rPr>
        <w:t>» и МУП г. Астрахани «</w:t>
      </w:r>
      <w:proofErr w:type="spellStart"/>
      <w:r w:rsidRPr="00D30F81">
        <w:rPr>
          <w:rFonts w:eastAsia="Times New Roman" w:cs="Times New Roman"/>
          <w:szCs w:val="28"/>
          <w:lang w:eastAsia="ru-RU"/>
        </w:rPr>
        <w:t>Коммунэнерго</w:t>
      </w:r>
      <w:proofErr w:type="spellEnd"/>
      <w:r w:rsidRPr="00D30F81">
        <w:rPr>
          <w:rFonts w:eastAsia="Times New Roman" w:cs="Times New Roman"/>
          <w:szCs w:val="28"/>
          <w:lang w:eastAsia="ru-RU"/>
        </w:rPr>
        <w:t>»</w:t>
      </w:r>
      <w:r w:rsidR="00F40378">
        <w:rPr>
          <w:rFonts w:eastAsia="Times New Roman" w:cs="Times New Roman"/>
          <w:szCs w:val="28"/>
          <w:lang w:eastAsia="ru-RU"/>
        </w:rPr>
        <w:t>)</w:t>
      </w:r>
      <w:r w:rsidRPr="00D30F81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7B65B3" w:rsidRPr="00A7096F" w:rsidRDefault="00D30F81" w:rsidP="004D280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30F8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2017-2019 годах данный показатель останется на том же уровне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B7D" w:rsidRPr="00A7096F" w:rsidRDefault="00D06B7D" w:rsidP="002A298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30F81">
        <w:rPr>
          <w:rFonts w:eastAsia="Times New Roman" w:cs="Times New Roman"/>
          <w:b/>
          <w:szCs w:val="28"/>
          <w:lang w:eastAsia="ru-RU"/>
        </w:rPr>
        <w:t xml:space="preserve">29.Доля многоквартирных домов, расположенных на земельных участках, в отношении которых осуществлен государственный кадастровый учет </w:t>
      </w:r>
    </w:p>
    <w:p w:rsidR="00D30F81" w:rsidRPr="00D30F81" w:rsidRDefault="00D30F81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30F81">
        <w:rPr>
          <w:rFonts w:eastAsia="Times New Roman" w:cs="Times New Roman"/>
          <w:szCs w:val="28"/>
          <w:lang w:eastAsia="ru-RU"/>
        </w:rPr>
        <w:t>В отчетном году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D30F81">
        <w:rPr>
          <w:rFonts w:eastAsia="Calibri" w:cs="Times New Roman"/>
          <w:szCs w:val="28"/>
          <w:lang w:eastAsia="ru-RU"/>
        </w:rPr>
        <w:t>, увеличилась по сравнению с 2015 годом и составила 10,74</w:t>
      </w:r>
      <w:r w:rsidRPr="00D30F81">
        <w:rPr>
          <w:rFonts w:eastAsia="Calibri" w:cs="Times New Roman"/>
          <w:szCs w:val="28"/>
        </w:rPr>
        <w:t>% от общего числа многоквартирных домов, имеющих разрешение на ввод в эксплуатацию. Это обусловлено  постановкой в 201</w:t>
      </w:r>
      <w:r w:rsidRPr="00D30F81">
        <w:rPr>
          <w:rFonts w:eastAsia="Calibri" w:cs="Times New Roman"/>
          <w:szCs w:val="28"/>
          <w:lang w:eastAsia="ru-RU"/>
        </w:rPr>
        <w:t>6 году на кадастровый учет 1</w:t>
      </w:r>
      <w:r w:rsidR="00F40378">
        <w:rPr>
          <w:rFonts w:eastAsia="Calibri" w:cs="Times New Roman"/>
          <w:szCs w:val="28"/>
          <w:lang w:eastAsia="ru-RU"/>
        </w:rPr>
        <w:t xml:space="preserve"> </w:t>
      </w:r>
      <w:r w:rsidRPr="00D30F81">
        <w:rPr>
          <w:rFonts w:eastAsia="Calibri" w:cs="Times New Roman"/>
          <w:szCs w:val="28"/>
          <w:lang w:eastAsia="ru-RU"/>
        </w:rPr>
        <w:t>222 земельных участков</w:t>
      </w:r>
      <w:r w:rsidRPr="00D30F81">
        <w:rPr>
          <w:rFonts w:eastAsia="Calibri" w:cs="Times New Roman"/>
          <w:szCs w:val="28"/>
        </w:rPr>
        <w:t xml:space="preserve"> (в 201</w:t>
      </w:r>
      <w:r w:rsidRPr="00D30F81">
        <w:rPr>
          <w:rFonts w:eastAsia="Calibri" w:cs="Times New Roman"/>
          <w:szCs w:val="28"/>
          <w:lang w:eastAsia="ru-RU"/>
        </w:rPr>
        <w:t>5</w:t>
      </w:r>
      <w:r w:rsidRPr="00D30F81">
        <w:rPr>
          <w:rFonts w:eastAsia="Calibri" w:cs="Times New Roman"/>
          <w:szCs w:val="28"/>
        </w:rPr>
        <w:t xml:space="preserve"> году – </w:t>
      </w:r>
      <w:r w:rsidRPr="00D30F81">
        <w:rPr>
          <w:rFonts w:eastAsia="Calibri" w:cs="Times New Roman"/>
          <w:szCs w:val="28"/>
          <w:lang w:eastAsia="ru-RU"/>
        </w:rPr>
        <w:t>1</w:t>
      </w:r>
      <w:r w:rsidR="00F40378">
        <w:rPr>
          <w:rFonts w:eastAsia="Calibri" w:cs="Times New Roman"/>
          <w:szCs w:val="28"/>
          <w:lang w:eastAsia="ru-RU"/>
        </w:rPr>
        <w:t xml:space="preserve"> </w:t>
      </w:r>
      <w:r w:rsidRPr="00D30F81">
        <w:rPr>
          <w:rFonts w:eastAsia="Calibri" w:cs="Times New Roman"/>
          <w:szCs w:val="28"/>
          <w:lang w:eastAsia="ru-RU"/>
        </w:rPr>
        <w:t>125</w:t>
      </w:r>
      <w:r w:rsidRPr="00D30F81">
        <w:rPr>
          <w:rFonts w:eastAsia="Calibri" w:cs="Times New Roman"/>
          <w:szCs w:val="28"/>
        </w:rPr>
        <w:t xml:space="preserve"> земельных участка) для эксплуатации многоквартирных домов.</w:t>
      </w:r>
    </w:p>
    <w:p w:rsidR="00D30F81" w:rsidRPr="00D30F81" w:rsidRDefault="00D30F81" w:rsidP="004D2808">
      <w:pPr>
        <w:suppressAutoHyphens/>
        <w:ind w:left="14" w:firstLine="709"/>
        <w:jc w:val="both"/>
        <w:rPr>
          <w:iCs/>
          <w:szCs w:val="28"/>
          <w:lang w:eastAsia="ar-SA"/>
        </w:rPr>
      </w:pPr>
      <w:r w:rsidRPr="00D30F81">
        <w:rPr>
          <w:iCs/>
          <w:szCs w:val="28"/>
          <w:lang w:eastAsia="ar-SA"/>
        </w:rPr>
        <w:t>Планируется осуществить кадастровый учет земельных участков для эксп</w:t>
      </w:r>
      <w:r>
        <w:rPr>
          <w:iCs/>
          <w:szCs w:val="28"/>
          <w:lang w:eastAsia="ar-SA"/>
        </w:rPr>
        <w:t>луатации многоквартирных домов</w:t>
      </w:r>
      <w:r w:rsidRPr="00D30F81">
        <w:rPr>
          <w:iCs/>
          <w:szCs w:val="28"/>
          <w:lang w:eastAsia="ar-SA"/>
        </w:rPr>
        <w:t xml:space="preserve">: </w:t>
      </w:r>
    </w:p>
    <w:p w:rsidR="00D30F81" w:rsidRPr="00D30F81" w:rsidRDefault="00D30F81" w:rsidP="004D2808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в </w:t>
      </w:r>
      <w:r w:rsidRPr="00D30F81">
        <w:rPr>
          <w:iCs/>
          <w:szCs w:val="28"/>
          <w:lang w:eastAsia="ar-SA"/>
        </w:rPr>
        <w:t>2017 году – 1</w:t>
      </w:r>
      <w:r w:rsidR="00F40378">
        <w:rPr>
          <w:iCs/>
          <w:szCs w:val="28"/>
          <w:lang w:eastAsia="ar-SA"/>
        </w:rPr>
        <w:t xml:space="preserve"> </w:t>
      </w:r>
      <w:r w:rsidRPr="00D30F81">
        <w:rPr>
          <w:iCs/>
          <w:szCs w:val="28"/>
          <w:lang w:eastAsia="ar-SA"/>
        </w:rPr>
        <w:t>300 земельных участков, что составит 11,41% от планируемого общего числа 11394 многоквартирных домов;</w:t>
      </w:r>
    </w:p>
    <w:p w:rsidR="00D30F81" w:rsidRPr="00D30F81" w:rsidRDefault="00D30F81" w:rsidP="004D2808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в </w:t>
      </w:r>
      <w:r w:rsidRPr="00D30F81">
        <w:rPr>
          <w:iCs/>
          <w:szCs w:val="28"/>
          <w:lang w:eastAsia="ar-SA"/>
        </w:rPr>
        <w:t>2018 году  – 1</w:t>
      </w:r>
      <w:r w:rsidR="00F40378">
        <w:rPr>
          <w:iCs/>
          <w:szCs w:val="28"/>
          <w:lang w:eastAsia="ar-SA"/>
        </w:rPr>
        <w:t xml:space="preserve"> </w:t>
      </w:r>
      <w:r w:rsidRPr="00D30F81">
        <w:rPr>
          <w:iCs/>
          <w:szCs w:val="28"/>
          <w:lang w:eastAsia="ar-SA"/>
        </w:rPr>
        <w:t>400 земельных участка, что составит 12,26% от планируемого общего числа 11416 многоквартирных домов;</w:t>
      </w:r>
    </w:p>
    <w:p w:rsidR="00D30F81" w:rsidRPr="00D30F81" w:rsidRDefault="00D30F81" w:rsidP="004D2808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в </w:t>
      </w:r>
      <w:r w:rsidRPr="00D30F81">
        <w:rPr>
          <w:iCs/>
          <w:szCs w:val="28"/>
          <w:lang w:eastAsia="ar-SA"/>
        </w:rPr>
        <w:t>2019 году  – 1</w:t>
      </w:r>
      <w:r w:rsidR="00F40378">
        <w:rPr>
          <w:iCs/>
          <w:szCs w:val="28"/>
          <w:lang w:eastAsia="ar-SA"/>
        </w:rPr>
        <w:t xml:space="preserve"> </w:t>
      </w:r>
      <w:r w:rsidRPr="00D30F81">
        <w:rPr>
          <w:iCs/>
          <w:szCs w:val="28"/>
          <w:lang w:eastAsia="ar-SA"/>
        </w:rPr>
        <w:t>500 земельных участков, что составит 13,11% от планируемого общего числа 11</w:t>
      </w:r>
      <w:r w:rsidR="00F40378">
        <w:rPr>
          <w:iCs/>
          <w:szCs w:val="28"/>
          <w:lang w:eastAsia="ar-SA"/>
        </w:rPr>
        <w:t xml:space="preserve"> </w:t>
      </w:r>
      <w:r w:rsidRPr="00D30F81">
        <w:rPr>
          <w:iCs/>
          <w:szCs w:val="28"/>
          <w:lang w:eastAsia="ar-SA"/>
        </w:rPr>
        <w:t>439 многоквартирных домов.</w:t>
      </w:r>
    </w:p>
    <w:p w:rsidR="007B65B3" w:rsidRPr="00A7096F" w:rsidRDefault="00D30F81" w:rsidP="004D2808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D30F81">
        <w:rPr>
          <w:rFonts w:eastAsia="Calibri" w:cs="Times New Roman"/>
          <w:szCs w:val="28"/>
        </w:rPr>
        <w:t>В связи с тем, что формирование и постановка на государственный кадастровый учет земельных участков для эксплуатации многоквартирных домов носит заявительный характер, для выполнения планируемых показателей продолжится работа по информированию населения о необходимости оформления документов землепользования в средствах массовой информации.</w:t>
      </w:r>
    </w:p>
    <w:p w:rsidR="00701BBF" w:rsidRPr="00A7096F" w:rsidRDefault="00701BBF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0B77ED" w:rsidRPr="000B77ED" w:rsidRDefault="004D2808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30.</w:t>
      </w:r>
      <w:r w:rsidR="000B77ED" w:rsidRPr="000B77ED">
        <w:rPr>
          <w:rFonts w:eastAsia="Times New Roman" w:cs="Times New Roman"/>
          <w:b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0B77ED" w:rsidRPr="000B77ED" w:rsidRDefault="000B77ED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7ED">
        <w:rPr>
          <w:rFonts w:eastAsia="Times New Roman" w:cs="Times New Roman"/>
          <w:szCs w:val="28"/>
          <w:lang w:eastAsia="ru-RU"/>
        </w:rPr>
        <w:t>Ведение учета граждан в качестве нуждающихся в улучшении жилищных условий осуществляется с 1964 года. С каждым годом число семей, состоящих на данном учете, возрастает. В 2015 году на указанном учете состояло – 39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r w:rsidRPr="000B77ED">
        <w:rPr>
          <w:rFonts w:eastAsia="Times New Roman" w:cs="Times New Roman"/>
          <w:szCs w:val="28"/>
          <w:lang w:eastAsia="ru-RU"/>
        </w:rPr>
        <w:t>657 человек, получили жилые помещения и улучшили жилищные условия – 1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r w:rsidRPr="000B77ED">
        <w:rPr>
          <w:rFonts w:eastAsia="Times New Roman" w:cs="Times New Roman"/>
          <w:szCs w:val="28"/>
          <w:lang w:eastAsia="ru-RU"/>
        </w:rPr>
        <w:t>422 человека (что составляет 3,59% доли населения, получившего жилые помещения и улучшившего жилищные условия в 2015 году). В 2016 году на указанном учете состояло – 41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r w:rsidRPr="000B77ED">
        <w:rPr>
          <w:rFonts w:eastAsia="Times New Roman" w:cs="Times New Roman"/>
          <w:szCs w:val="28"/>
          <w:lang w:eastAsia="ru-RU"/>
        </w:rPr>
        <w:t>481 человек, получили жилые помещения и улучшили жилищные условия – 1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r w:rsidRPr="000B77ED">
        <w:rPr>
          <w:rFonts w:eastAsia="Times New Roman" w:cs="Times New Roman"/>
          <w:szCs w:val="28"/>
          <w:lang w:eastAsia="ru-RU"/>
        </w:rPr>
        <w:t>176 человек (что составляет 2,84% доли населения, получившего жилые помещения и улучшившего жилищные условия в 2016 году).</w:t>
      </w:r>
    </w:p>
    <w:p w:rsidR="000B77ED" w:rsidRPr="000B77ED" w:rsidRDefault="000B77ED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7ED">
        <w:rPr>
          <w:rFonts w:eastAsia="Times New Roman" w:cs="Times New Roman"/>
          <w:szCs w:val="28"/>
          <w:lang w:eastAsia="ru-RU"/>
        </w:rPr>
        <w:t xml:space="preserve">В 2016 году наблюдается значительное снижение числа граждан, получивших жилые помещения и улучшивших жилищные условия и увеличение количества граждан, состоящих на учете в качестве нуждающихся в жилых помещениях. Обеспечение граждан состоящих на учете в качестве нуждающихся в улучшении жилищных условий жилыми помещениями по договору социального найма,  в порядке очередности,  на территории г. Астрахани не осуществляется, в связи с отсутствием финансирования на указанные цели. Отсутствие свободных жилых помещений муниципального жилищного фонда также не позволяет реализовать  предоставление жилья гражданам, нуждающимся в улучшении жилищных условий. </w:t>
      </w:r>
    </w:p>
    <w:p w:rsidR="000B77ED" w:rsidRPr="000B77ED" w:rsidRDefault="000B77ED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7ED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«Город Астрахань» проводятся мероприятия, направленные на реализацию: </w:t>
      </w:r>
      <w:proofErr w:type="gramStart"/>
      <w:r w:rsidRPr="000B77ED">
        <w:rPr>
          <w:rFonts w:eastAsia="Times New Roman" w:cs="Times New Roman"/>
          <w:szCs w:val="28"/>
          <w:lang w:eastAsia="ru-RU"/>
        </w:rPr>
        <w:t>ФЗ «О ветеранах», «О социальной защите инвалидов в РФ», постановления Правительства РФ №153 от 21.03.2006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r w:rsidRPr="000B77ED">
        <w:rPr>
          <w:rFonts w:eastAsia="Times New Roman" w:cs="Times New Roman"/>
          <w:szCs w:val="28"/>
          <w:lang w:eastAsia="ru-RU"/>
        </w:rPr>
        <w:t xml:space="preserve">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«Жилище», программы «Переселение граждан из аварийного жилищного фонда, в том числе с учетом необходимости развития малоэтажного жилищного строительства Астраханской области, в 2013-2017 годах» за счет средств ГК «Фонд</w:t>
      </w:r>
      <w:proofErr w:type="gramEnd"/>
      <w:r w:rsidRPr="000B77ED">
        <w:rPr>
          <w:rFonts w:eastAsia="Times New Roman" w:cs="Times New Roman"/>
          <w:szCs w:val="28"/>
          <w:lang w:eastAsia="ru-RU"/>
        </w:rPr>
        <w:t xml:space="preserve"> содействия реформированию ЖКХ», программы «Жилье для российской семьи», утвержденной постановлением Правительства РФ «Обеспечение доступным и комфортным жильем и коммунальными услугами граждан РФ», которые позволяют улучшить  жилищные условия граждан.</w:t>
      </w:r>
    </w:p>
    <w:p w:rsidR="00CF6364" w:rsidRPr="000B77ED" w:rsidRDefault="000B77ED" w:rsidP="004D2808">
      <w:pPr>
        <w:ind w:firstLine="709"/>
        <w:jc w:val="both"/>
        <w:rPr>
          <w:rFonts w:eastAsia="Calibri" w:cs="Times New Roman"/>
          <w:szCs w:val="28"/>
        </w:rPr>
      </w:pPr>
      <w:r w:rsidRPr="000B77ED">
        <w:rPr>
          <w:rFonts w:eastAsia="Times New Roman" w:cs="Times New Roman"/>
          <w:szCs w:val="28"/>
          <w:lang w:eastAsia="ru-RU"/>
        </w:rPr>
        <w:t xml:space="preserve">В 2017-2019 годах планируется продолжить работу по реализации программ, направленных на получение гражданами жилых помещений и улучшение их жилищных условий. </w:t>
      </w:r>
      <w:proofErr w:type="gramStart"/>
      <w:r w:rsidRPr="000B77ED">
        <w:rPr>
          <w:rFonts w:eastAsia="Times New Roman" w:cs="Times New Roman"/>
          <w:szCs w:val="28"/>
          <w:lang w:eastAsia="ru-RU"/>
        </w:rPr>
        <w:t xml:space="preserve">Однако следует отметить снижение планируемых показателей числа семей, получивших жилые помещения и улучшивших жилищные условия, что связано со снижением  финансового обеспечения при предоставлении  государственной  поддержки из федерального бюджета субъекту Российской Федерации,  с отсутствием возможностей местного бюджета обеспечивать </w:t>
      </w:r>
      <w:proofErr w:type="spellStart"/>
      <w:r w:rsidRPr="000B77ED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0B77ED">
        <w:rPr>
          <w:rFonts w:eastAsia="Times New Roman" w:cs="Times New Roman"/>
          <w:szCs w:val="28"/>
          <w:lang w:eastAsia="ru-RU"/>
        </w:rPr>
        <w:t xml:space="preserve"> программных мероприятий, с окончанием реализации программы «Переселение граждан из аварийного жилищного фонда, в том числе с учетом необходимости развития малоэтажного жилищного строительства</w:t>
      </w:r>
      <w:proofErr w:type="gramEnd"/>
      <w:r w:rsidRPr="000B77ED">
        <w:rPr>
          <w:rFonts w:eastAsia="Times New Roman" w:cs="Times New Roman"/>
          <w:szCs w:val="28"/>
          <w:lang w:eastAsia="ru-RU"/>
        </w:rPr>
        <w:t xml:space="preserve"> Астраханской области, в 2013-2017 годах» за счет средств ГК «Фонд содействия реформированию ЖКХ». Принимая во внимание отсутствие финансовых средств на обеспечение выполнения подпрограммы «Обеспечение жильем молодых семей» федеральной целевой программы "Жилище" на 2015-2020 годы предоставление субсидий молодым семьям приостановлено. </w:t>
      </w:r>
      <w:proofErr w:type="gramStart"/>
      <w:r w:rsidRPr="000B77ED">
        <w:rPr>
          <w:rFonts w:eastAsia="Times New Roman" w:cs="Times New Roman"/>
          <w:szCs w:val="28"/>
          <w:lang w:eastAsia="ru-RU"/>
        </w:rPr>
        <w:t>Постановлением администрации муниципального образования «Город Астрахань» от 29.03.2016 № 1970 «О внесении изменений в постановление администрации муниципального образования «Город Астрахань» от 22.12.2015 № 8923 «Об утверждении муниципальной программы муниципального образования «Город Астрахань» «Жилищное строительство и содержание муниципального жилищного фонда МО «Город Астрахань» на 2016 год были выделены денежные средства в размере 1млн. рублей на финансирование мероприятия «Приобретение и предоставление гражданам, страдающим тяжелыми</w:t>
      </w:r>
      <w:proofErr w:type="gramEnd"/>
      <w:r w:rsidRPr="000B77ED">
        <w:rPr>
          <w:rFonts w:eastAsia="Times New Roman" w:cs="Times New Roman"/>
          <w:szCs w:val="28"/>
          <w:lang w:eastAsia="ru-RU"/>
        </w:rPr>
        <w:t xml:space="preserve"> формами хронических заболеваний жилых помещений», при этом необходимо учитывать, что стоимость однокомнатной квартиры на рынке недвижимости ориентировочно составляет от 1,5 до 1,8  </w:t>
      </w:r>
      <w:proofErr w:type="spellStart"/>
      <w:r w:rsidRPr="000B77ED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0B77ED">
        <w:rPr>
          <w:rFonts w:eastAsia="Times New Roman" w:cs="Times New Roman"/>
          <w:szCs w:val="28"/>
          <w:lang w:eastAsia="ru-RU"/>
        </w:rPr>
        <w:t>.р</w:t>
      </w:r>
      <w:proofErr w:type="gramEnd"/>
      <w:r w:rsidRPr="000B77ED">
        <w:rPr>
          <w:rFonts w:eastAsia="Times New Roman" w:cs="Times New Roman"/>
          <w:szCs w:val="28"/>
          <w:lang w:eastAsia="ru-RU"/>
        </w:rPr>
        <w:t>уб</w:t>
      </w:r>
      <w:proofErr w:type="spellEnd"/>
      <w:r w:rsidRPr="000B77ED">
        <w:rPr>
          <w:rFonts w:eastAsia="Times New Roman" w:cs="Times New Roman"/>
          <w:szCs w:val="28"/>
          <w:lang w:eastAsia="ru-RU"/>
        </w:rPr>
        <w:t xml:space="preserve">.  Данные обстоятельства могут способствовать увеличению количества граждан, состоящих на учете в качестве нуждающихся в жилых помещениях и уменьшению численности населения, получившего жилые помещения и улучшившего жилищные условия, в общей численности населения, состоящего на учете в качестве </w:t>
      </w:r>
      <w:proofErr w:type="gramStart"/>
      <w:r w:rsidRPr="000B77ED">
        <w:rPr>
          <w:rFonts w:eastAsia="Times New Roman" w:cs="Times New Roman"/>
          <w:szCs w:val="28"/>
          <w:lang w:eastAsia="ru-RU"/>
        </w:rPr>
        <w:t>нуждающегося</w:t>
      </w:r>
      <w:proofErr w:type="gramEnd"/>
      <w:r w:rsidRPr="000B77ED">
        <w:rPr>
          <w:rFonts w:eastAsia="Times New Roman" w:cs="Times New Roman"/>
          <w:szCs w:val="28"/>
          <w:lang w:eastAsia="ru-RU"/>
        </w:rPr>
        <w:t xml:space="preserve"> в жилых помещениях.</w:t>
      </w:r>
    </w:p>
    <w:p w:rsidR="009515AE" w:rsidRPr="00A7096F" w:rsidRDefault="009515AE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E27" w:rsidRPr="00276789" w:rsidRDefault="00515E27" w:rsidP="004D280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Организация муниципального управления</w:t>
      </w:r>
    </w:p>
    <w:p w:rsidR="00515E27" w:rsidRDefault="00515E27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Pr="00276789" w:rsidRDefault="005D5923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31.</w:t>
      </w:r>
      <w:r w:rsidR="00602623" w:rsidRPr="00276789">
        <w:rPr>
          <w:rFonts w:eastAsia="Times New Roman" w:cs="Times New Roman"/>
          <w:b/>
          <w:szCs w:val="28"/>
          <w:lang w:eastAsia="ru-RU"/>
        </w:rPr>
        <w:t>Доля налоговых и неналоговых доходов местного бюджета (за       исключением поступлений налоговых доходов по дополнительным нормативам отчислений) в общем объеме</w:t>
      </w:r>
      <w:r w:rsidR="00BC27CC" w:rsidRPr="00276789">
        <w:rPr>
          <w:rFonts w:eastAsia="Times New Roman" w:cs="Times New Roman"/>
          <w:b/>
          <w:szCs w:val="28"/>
          <w:lang w:eastAsia="ru-RU"/>
        </w:rPr>
        <w:t xml:space="preserve"> собственных доходов бюджета</w:t>
      </w:r>
      <w:r w:rsidR="00602623" w:rsidRPr="00276789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 (без учета субвенций)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276789">
        <w:rPr>
          <w:rFonts w:eastAsia="Times New Roman" w:cs="Times New Roman"/>
          <w:szCs w:val="20"/>
          <w:lang w:eastAsia="ru-RU"/>
        </w:rPr>
        <w:t>За 2016 год и плановый период 2017-2019 годов доля налоговых и неналоговых доходов бюджета муниципального образования «Город Астрахань» (за исключением поступлений налоговых доходов по дополнительным нормативам отчислений) в общем объёме собственных доходов местного бюджета (без учета субвенций) представлена в следующей динамике: в 2016 году – 72,39%,  в 2017 году – 60,23%, в 2018 году  – 54,01%, в 2019 году – 70,38%.</w:t>
      </w:r>
      <w:proofErr w:type="gramEnd"/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76789">
        <w:rPr>
          <w:rFonts w:eastAsia="Times New Roman" w:cs="Times New Roman"/>
          <w:szCs w:val="20"/>
          <w:lang w:eastAsia="ru-RU"/>
        </w:rPr>
        <w:t>Рост показателя в 2016 году по сравнению с 2015 годом обусловлен тем, что темп снижения объема собственных доходов превысило спад поступлений по налоговым и неналоговым доходам.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76789">
        <w:rPr>
          <w:rFonts w:eastAsia="Times New Roman" w:cs="Times New Roman"/>
          <w:szCs w:val="20"/>
          <w:lang w:eastAsia="ru-RU"/>
        </w:rPr>
        <w:t>Объем налоговых и неналоговых доходов в 2016 году  по сравнению с 2015 годом практически остался на том же уровне. Нормативы отчислений от регулирующих налогов, поступающих  в местный бюджет, не изменились.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76789">
        <w:rPr>
          <w:rFonts w:eastAsia="Times New Roman" w:cs="Times New Roman"/>
          <w:szCs w:val="20"/>
          <w:lang w:eastAsia="ru-RU"/>
        </w:rPr>
        <w:t xml:space="preserve">Объем собственных доходов в 2016 году  снизился по сравнению с 2015 годом на 11,9% ввиду того, что </w:t>
      </w:r>
      <w:proofErr w:type="gramStart"/>
      <w:r w:rsidRPr="00276789">
        <w:rPr>
          <w:rFonts w:eastAsia="Times New Roman" w:cs="Times New Roman"/>
          <w:szCs w:val="20"/>
          <w:lang w:eastAsia="ru-RU"/>
        </w:rPr>
        <w:t>объем безвозмездных поступлений, предоставленный  в 2016 году из вышестоящего бюджета без учета субвенций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76789">
        <w:rPr>
          <w:rFonts w:eastAsia="Times New Roman" w:cs="Times New Roman"/>
          <w:szCs w:val="20"/>
          <w:lang w:eastAsia="ru-RU"/>
        </w:rPr>
        <w:t>сократился</w:t>
      </w:r>
      <w:proofErr w:type="gramEnd"/>
      <w:r w:rsidRPr="00276789">
        <w:rPr>
          <w:rFonts w:eastAsia="Times New Roman" w:cs="Times New Roman"/>
          <w:szCs w:val="20"/>
          <w:lang w:eastAsia="ru-RU"/>
        </w:rPr>
        <w:t xml:space="preserve">  в 2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76789">
        <w:rPr>
          <w:rFonts w:eastAsia="Times New Roman" w:cs="Times New Roman"/>
          <w:szCs w:val="20"/>
          <w:lang w:eastAsia="ru-RU"/>
        </w:rPr>
        <w:t>раза.</w:t>
      </w:r>
    </w:p>
    <w:p w:rsidR="00276789" w:rsidRPr="00413B38" w:rsidRDefault="00276789" w:rsidP="004D2808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76789">
        <w:rPr>
          <w:rFonts w:eastAsia="Times New Roman" w:cs="Times New Roman"/>
          <w:szCs w:val="20"/>
          <w:lang w:eastAsia="ru-RU"/>
        </w:rPr>
        <w:t xml:space="preserve">В плановом периоде 2017-2019 годов </w:t>
      </w:r>
      <w:r w:rsidRPr="00413B38">
        <w:rPr>
          <w:rFonts w:eastAsia="Times New Roman" w:cs="Times New Roman"/>
          <w:szCs w:val="20"/>
          <w:lang w:eastAsia="ru-RU"/>
        </w:rPr>
        <w:t xml:space="preserve">сумма налоговых и неналоговых доходов (за исключением поступлений налоговых доходов по дополнительным нормативам отчислений) </w:t>
      </w:r>
      <w:r w:rsidR="00413B38" w:rsidRPr="00413B38">
        <w:rPr>
          <w:rFonts w:eastAsia="Times New Roman" w:cs="Times New Roman"/>
          <w:szCs w:val="20"/>
          <w:lang w:eastAsia="ru-RU"/>
        </w:rPr>
        <w:t>предусмотрена на уровне 2016 года</w:t>
      </w:r>
      <w:r w:rsidRPr="00413B38">
        <w:rPr>
          <w:rFonts w:eastAsia="Times New Roman" w:cs="Times New Roman"/>
          <w:szCs w:val="20"/>
          <w:lang w:eastAsia="ru-RU"/>
        </w:rPr>
        <w:t xml:space="preserve">.  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6D427D" w:rsidRPr="000F485F" w:rsidRDefault="006D427D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F485F">
        <w:rPr>
          <w:rFonts w:eastAsia="Times New Roman" w:cs="Times New Roman"/>
          <w:b/>
          <w:szCs w:val="28"/>
          <w:lang w:eastAsia="ru-RU"/>
        </w:rPr>
        <w:t>32.Доля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По состоянию на 01.01.2017 в стадии банкротства находятся 8 предприятий: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Спецавтохозяйство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по уборке города»;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«Служба № 1»;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Зеленхоз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>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Коммунстройсервис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>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«Селена»;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«УК «Лотос»;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«Городской специализированный комбинат похоронных услуг»;</w:t>
      </w:r>
    </w:p>
    <w:p w:rsidR="00773298" w:rsidRPr="00773298" w:rsidRDefault="00773298" w:rsidP="004D28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МУП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г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.А</w:t>
      </w:r>
      <w:proofErr w:type="gramEnd"/>
      <w:r w:rsidRPr="00773298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Коммунэнерго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>».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составила 9,45%. По отношению к 2015 году количество организаций-банкротов увеличилось на единицу, в связи с ликвидацией  МУП </w:t>
      </w:r>
      <w:r w:rsidR="002A277F">
        <w:rPr>
          <w:rFonts w:eastAsia="Times New Roman" w:cs="Times New Roman"/>
          <w:szCs w:val="28"/>
          <w:lang w:eastAsia="ru-RU"/>
        </w:rPr>
        <w:t xml:space="preserve">            </w:t>
      </w:r>
      <w:r w:rsidRPr="00773298">
        <w:rPr>
          <w:rFonts w:eastAsia="Times New Roman" w:cs="Times New Roman"/>
          <w:szCs w:val="28"/>
          <w:lang w:eastAsia="ru-RU"/>
        </w:rPr>
        <w:t>г. Астрахани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Астркоммунэнерго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» и признанием в 2016 году банкротами следующих предприятий: </w:t>
      </w:r>
    </w:p>
    <w:p w:rsidR="00773298" w:rsidRPr="00773298" w:rsidRDefault="00773298" w:rsidP="004D280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МУП г. Астрахани «Городской специализированный комбинат похоронных услуг»;</w:t>
      </w:r>
    </w:p>
    <w:p w:rsidR="00773298" w:rsidRPr="00773298" w:rsidRDefault="00773298" w:rsidP="004D280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МУП г. Астрахани «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Коммунэнерго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>».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В 2017-2019  годах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планируется на уровне 2016 года.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В целях оперативного выявления неэффективных муниципальных унитарных предприятий проводятся мониторинг и анализ основных показателей финансово-хозяйственной деятельности. По итогам вышеуказанных мероприятий ежегодно организуются балансовые комиссии, на которых оценивается деятельность муниципального </w:t>
      </w:r>
      <w:proofErr w:type="gramStart"/>
      <w:r w:rsidRPr="00773298">
        <w:rPr>
          <w:rFonts w:eastAsia="Times New Roman" w:cs="Times New Roman"/>
          <w:szCs w:val="28"/>
          <w:lang w:eastAsia="ru-RU"/>
        </w:rPr>
        <w:t>предприятия</w:t>
      </w:r>
      <w:proofErr w:type="gramEnd"/>
      <w:r w:rsidRPr="00773298">
        <w:rPr>
          <w:rFonts w:eastAsia="Times New Roman" w:cs="Times New Roman"/>
          <w:szCs w:val="28"/>
          <w:lang w:eastAsia="ru-RU"/>
        </w:rPr>
        <w:t xml:space="preserve"> и принимаются решения по вопросам его дальнейшего функционирования.</w:t>
      </w:r>
    </w:p>
    <w:p w:rsidR="00602623" w:rsidRPr="00A7096F" w:rsidRDefault="00602623" w:rsidP="002A298A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23E8C" w:rsidRPr="00B23E8C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33.</w:t>
      </w:r>
      <w:r w:rsidR="00B23E8C" w:rsidRPr="00B23E8C">
        <w:rPr>
          <w:rFonts w:eastAsia="Times New Roman" w:cs="Times New Roman"/>
          <w:b/>
          <w:szCs w:val="28"/>
          <w:lang w:eastAsia="ru-RU"/>
        </w:rPr>
        <w:t>Объём незавершенного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B23E8C" w:rsidRPr="00B23E8C" w:rsidRDefault="00B23E8C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3E8C">
        <w:rPr>
          <w:rFonts w:eastAsia="Times New Roman" w:cs="Times New Roman"/>
          <w:szCs w:val="28"/>
          <w:lang w:eastAsia="ru-RU"/>
        </w:rPr>
        <w:t xml:space="preserve">В 2016 году объем незавершенного в установленные сроки строительства, осуществляемого за счёт средств бюджета городского округа, составил 946 323,2 тыс. руб. Уменьшение объемов незавершенного строительства по сравнению с 2015 годом (995 950,3 </w:t>
      </w:r>
      <w:proofErr w:type="spellStart"/>
      <w:r w:rsidRPr="00B23E8C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B23E8C">
        <w:rPr>
          <w:rFonts w:eastAsia="Times New Roman" w:cs="Times New Roman"/>
          <w:szCs w:val="28"/>
          <w:lang w:eastAsia="ru-RU"/>
        </w:rPr>
        <w:t>.р</w:t>
      </w:r>
      <w:proofErr w:type="gramEnd"/>
      <w:r w:rsidRPr="00B23E8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B23E8C">
        <w:rPr>
          <w:rFonts w:eastAsia="Times New Roman" w:cs="Times New Roman"/>
          <w:szCs w:val="28"/>
          <w:lang w:eastAsia="ru-RU"/>
        </w:rPr>
        <w:t>.) связано с завершением строительства и вводом в эксплуатацию следующих объектов:</w:t>
      </w:r>
    </w:p>
    <w:p w:rsidR="00B23E8C" w:rsidRPr="002A277F" w:rsidRDefault="00B23E8C" w:rsidP="004D2808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A277F">
        <w:rPr>
          <w:rFonts w:eastAsia="Times New Roman" w:cs="Times New Roman"/>
          <w:szCs w:val="28"/>
          <w:lang w:eastAsia="ru-RU"/>
        </w:rPr>
        <w:t>192-х квартирного жилого дома по ул. С. Перовской в г. Астрахани (на условиях «под ключ») для переселения граждан из аварийного жилищного фонда муниципального образования «Город Астрахань»;</w:t>
      </w:r>
    </w:p>
    <w:p w:rsidR="00B23E8C" w:rsidRPr="002A277F" w:rsidRDefault="00B23E8C" w:rsidP="004D2808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A277F">
        <w:rPr>
          <w:rFonts w:eastAsia="Times New Roman" w:cs="Times New Roman"/>
          <w:szCs w:val="28"/>
          <w:lang w:eastAsia="ru-RU"/>
        </w:rPr>
        <w:t xml:space="preserve">подъездной дороги от трассы Астрахань-Камызяк до бугра Иван-Макар </w:t>
      </w:r>
      <w:proofErr w:type="gramStart"/>
      <w:r w:rsidRPr="002A277F">
        <w:rPr>
          <w:rFonts w:eastAsia="Times New Roman" w:cs="Times New Roman"/>
          <w:szCs w:val="28"/>
          <w:lang w:eastAsia="ru-RU"/>
        </w:rPr>
        <w:t>в</w:t>
      </w:r>
      <w:proofErr w:type="gramEnd"/>
      <w:r w:rsidRPr="002A277F">
        <w:rPr>
          <w:rFonts w:eastAsia="Times New Roman" w:cs="Times New Roman"/>
          <w:szCs w:val="28"/>
          <w:lang w:eastAsia="ru-RU"/>
        </w:rPr>
        <w:t xml:space="preserve"> </w:t>
      </w:r>
      <w:r w:rsidR="002A277F">
        <w:rPr>
          <w:rFonts w:eastAsia="Times New Roman" w:cs="Times New Roman"/>
          <w:szCs w:val="28"/>
          <w:lang w:eastAsia="ru-RU"/>
        </w:rPr>
        <w:t xml:space="preserve">        </w:t>
      </w:r>
      <w:r w:rsidRPr="002A277F">
        <w:rPr>
          <w:rFonts w:eastAsia="Times New Roman" w:cs="Times New Roman"/>
          <w:szCs w:val="28"/>
          <w:lang w:eastAsia="ru-RU"/>
        </w:rPr>
        <w:t>с.</w:t>
      </w:r>
      <w:r w:rsidR="002A277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277F">
        <w:rPr>
          <w:rFonts w:eastAsia="Times New Roman" w:cs="Times New Roman"/>
          <w:szCs w:val="28"/>
          <w:lang w:eastAsia="ru-RU"/>
        </w:rPr>
        <w:t>Карагали</w:t>
      </w:r>
      <w:proofErr w:type="spellEnd"/>
      <w:r w:rsidRPr="002A277F">
        <w:rPr>
          <w:rFonts w:eastAsia="Times New Roman" w:cs="Times New Roman"/>
          <w:szCs w:val="28"/>
          <w:lang w:eastAsia="ru-RU"/>
        </w:rPr>
        <w:t xml:space="preserve"> Приволжского района.</w:t>
      </w:r>
    </w:p>
    <w:p w:rsidR="00B23E8C" w:rsidRPr="00B23E8C" w:rsidRDefault="00B23E8C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3E8C">
        <w:rPr>
          <w:rFonts w:eastAsia="Times New Roman" w:cs="Times New Roman"/>
          <w:szCs w:val="28"/>
          <w:lang w:eastAsia="ru-RU"/>
        </w:rPr>
        <w:t>В 2017 году объем сократится до 771 796,2 тыс. руб., в 2018 году – до 680 096,5 тыс. руб., а в 2019 году – до 525 085,4 тыс. руб.</w:t>
      </w:r>
    </w:p>
    <w:p w:rsidR="00B23E8C" w:rsidRDefault="00B23E8C" w:rsidP="004D2808">
      <w:pPr>
        <w:ind w:firstLine="709"/>
        <w:jc w:val="both"/>
        <w:rPr>
          <w:rFonts w:eastAsia="Calibri" w:cs="Times New Roman"/>
          <w:szCs w:val="28"/>
        </w:rPr>
      </w:pPr>
      <w:r w:rsidRPr="00B23E8C">
        <w:rPr>
          <w:rFonts w:eastAsia="Calibri" w:cs="Times New Roman"/>
          <w:szCs w:val="28"/>
        </w:rPr>
        <w:t>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объектам. Для выделения денежных средств из местного и областного бюджетов разработаны и утверждены целевые программы.</w:t>
      </w:r>
    </w:p>
    <w:p w:rsidR="00B23E8C" w:rsidRPr="00B23E8C" w:rsidRDefault="00B23E8C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23E8C">
        <w:rPr>
          <w:rFonts w:eastAsia="Calibri" w:cs="Times New Roman"/>
          <w:szCs w:val="28"/>
        </w:rPr>
        <w:t>В 2017-2019 годах планируется завершить строительство и ввести в эксплуатацию следующие объекты:</w:t>
      </w:r>
    </w:p>
    <w:p w:rsidR="0084092E" w:rsidRDefault="00B23E8C" w:rsidP="004D2808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84092E">
        <w:rPr>
          <w:rFonts w:eastAsia="Calibri" w:cs="Times New Roman"/>
          <w:szCs w:val="28"/>
        </w:rPr>
        <w:t>тренировочн</w:t>
      </w:r>
      <w:r w:rsidR="0084092E">
        <w:rPr>
          <w:rFonts w:eastAsia="Calibri" w:cs="Times New Roman"/>
          <w:szCs w:val="28"/>
        </w:rPr>
        <w:t>ая</w:t>
      </w:r>
      <w:r w:rsidRPr="0084092E">
        <w:rPr>
          <w:rFonts w:eastAsia="Calibri" w:cs="Times New Roman"/>
          <w:szCs w:val="28"/>
        </w:rPr>
        <w:t xml:space="preserve"> площадк</w:t>
      </w:r>
      <w:r w:rsidR="0084092E">
        <w:rPr>
          <w:rFonts w:eastAsia="Calibri" w:cs="Times New Roman"/>
          <w:szCs w:val="28"/>
        </w:rPr>
        <w:t>а</w:t>
      </w:r>
      <w:r w:rsidRPr="0084092E">
        <w:rPr>
          <w:rFonts w:eastAsia="Calibri" w:cs="Times New Roman"/>
          <w:szCs w:val="28"/>
        </w:rPr>
        <w:t xml:space="preserve"> на муниципальном стадионе «Астрахань», </w:t>
      </w:r>
      <w:r w:rsidR="0084092E">
        <w:rPr>
          <w:rFonts w:eastAsia="Calibri" w:cs="Times New Roman"/>
          <w:szCs w:val="28"/>
        </w:rPr>
        <w:t xml:space="preserve">                 </w:t>
      </w:r>
      <w:r w:rsidRPr="0084092E">
        <w:rPr>
          <w:rFonts w:eastAsia="Calibri" w:cs="Times New Roman"/>
          <w:szCs w:val="28"/>
        </w:rPr>
        <w:t>г. Астрахань, ул. Ползунова, д. 1 б</w:t>
      </w:r>
      <w:r w:rsidR="0084092E">
        <w:rPr>
          <w:rFonts w:eastAsia="Calibri" w:cs="Times New Roman"/>
          <w:szCs w:val="28"/>
        </w:rPr>
        <w:t xml:space="preserve"> (р</w:t>
      </w:r>
      <w:r w:rsidRPr="0084092E">
        <w:rPr>
          <w:rFonts w:eastAsia="Calibri" w:cs="Times New Roman"/>
          <w:szCs w:val="28"/>
        </w:rPr>
        <w:t>еконструкция</w:t>
      </w:r>
      <w:r w:rsidR="0084092E">
        <w:rPr>
          <w:rFonts w:eastAsia="Calibri" w:cs="Times New Roman"/>
          <w:szCs w:val="28"/>
        </w:rPr>
        <w:t xml:space="preserve"> объекта)</w:t>
      </w:r>
      <w:r w:rsidRPr="0084092E">
        <w:rPr>
          <w:rFonts w:eastAsia="Calibri" w:cs="Times New Roman"/>
          <w:szCs w:val="28"/>
        </w:rPr>
        <w:t>;</w:t>
      </w:r>
      <w:proofErr w:type="gramEnd"/>
    </w:p>
    <w:p w:rsidR="0084092E" w:rsidRDefault="00B23E8C" w:rsidP="004D2808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84092E">
        <w:rPr>
          <w:rFonts w:eastAsia="Calibri" w:cs="Times New Roman"/>
          <w:szCs w:val="28"/>
        </w:rPr>
        <w:t>детск</w:t>
      </w:r>
      <w:r w:rsidR="0084092E" w:rsidRPr="0084092E">
        <w:rPr>
          <w:rFonts w:eastAsia="Calibri" w:cs="Times New Roman"/>
          <w:szCs w:val="28"/>
        </w:rPr>
        <w:t>ий</w:t>
      </w:r>
      <w:r w:rsidRPr="0084092E">
        <w:rPr>
          <w:rFonts w:eastAsia="Calibri" w:cs="Times New Roman"/>
          <w:szCs w:val="28"/>
        </w:rPr>
        <w:t xml:space="preserve"> сад в </w:t>
      </w:r>
      <w:proofErr w:type="spellStart"/>
      <w:r w:rsidRPr="0084092E">
        <w:rPr>
          <w:rFonts w:eastAsia="Calibri" w:cs="Times New Roman"/>
          <w:szCs w:val="28"/>
        </w:rPr>
        <w:t>мкр</w:t>
      </w:r>
      <w:proofErr w:type="spellEnd"/>
      <w:r w:rsidRPr="0084092E">
        <w:rPr>
          <w:rFonts w:eastAsia="Calibri" w:cs="Times New Roman"/>
          <w:szCs w:val="28"/>
        </w:rPr>
        <w:t>. Бабаевского в Ленинском р</w:t>
      </w:r>
      <w:r w:rsidR="0084092E">
        <w:rPr>
          <w:rFonts w:eastAsia="Calibri" w:cs="Times New Roman"/>
          <w:szCs w:val="28"/>
        </w:rPr>
        <w:t>айоне г. Астрахани на 330 мест;</w:t>
      </w:r>
    </w:p>
    <w:p w:rsidR="0084092E" w:rsidRDefault="00B23E8C" w:rsidP="004D2808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84092E">
        <w:rPr>
          <w:rFonts w:eastAsia="Calibri" w:cs="Times New Roman"/>
          <w:szCs w:val="28"/>
        </w:rPr>
        <w:t>детск</w:t>
      </w:r>
      <w:r w:rsidR="0084092E">
        <w:rPr>
          <w:rFonts w:eastAsia="Calibri" w:cs="Times New Roman"/>
          <w:szCs w:val="28"/>
        </w:rPr>
        <w:t>ий</w:t>
      </w:r>
      <w:r w:rsidRPr="0084092E">
        <w:rPr>
          <w:rFonts w:eastAsia="Calibri" w:cs="Times New Roman"/>
          <w:szCs w:val="28"/>
        </w:rPr>
        <w:t xml:space="preserve"> сад на 140 мест в пос. Янга-Аул;</w:t>
      </w:r>
    </w:p>
    <w:p w:rsidR="006D427D" w:rsidRPr="0084092E" w:rsidRDefault="0084092E" w:rsidP="004D2808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84092E">
        <w:rPr>
          <w:rFonts w:eastAsia="Calibri" w:cs="Times New Roman"/>
          <w:szCs w:val="28"/>
        </w:rPr>
        <w:t xml:space="preserve">школа </w:t>
      </w:r>
      <w:r w:rsidR="00B23E8C" w:rsidRPr="0084092E">
        <w:rPr>
          <w:rFonts w:eastAsia="Calibri" w:cs="Times New Roman"/>
          <w:szCs w:val="28"/>
        </w:rPr>
        <w:t xml:space="preserve">ул.3-я </w:t>
      </w:r>
      <w:proofErr w:type="spellStart"/>
      <w:r w:rsidR="00B23E8C" w:rsidRPr="0084092E">
        <w:rPr>
          <w:rFonts w:eastAsia="Calibri" w:cs="Times New Roman"/>
          <w:szCs w:val="28"/>
        </w:rPr>
        <w:t>Зеленгинская</w:t>
      </w:r>
      <w:proofErr w:type="spellEnd"/>
      <w:r w:rsidR="00B23E8C" w:rsidRPr="0084092E">
        <w:rPr>
          <w:rFonts w:eastAsia="Calibri" w:cs="Times New Roman"/>
          <w:szCs w:val="28"/>
        </w:rPr>
        <w:t xml:space="preserve"> в Кировском районе г. Астрахани на 1000 мест.</w:t>
      </w:r>
    </w:p>
    <w:p w:rsidR="00B23E8C" w:rsidRPr="00276789" w:rsidRDefault="00B23E8C" w:rsidP="00B23E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B5509F" w:rsidRPr="00276789" w:rsidRDefault="00B5509F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34.Доля просроченной кредиторской задолженности по оплате труда (включая начисления на оплату труда) муниципальных учреждений в общем объеме расходо</w:t>
      </w:r>
      <w:r w:rsidR="00BC27CC" w:rsidRPr="00276789">
        <w:rPr>
          <w:rFonts w:eastAsia="Times New Roman" w:cs="Times New Roman"/>
          <w:b/>
          <w:szCs w:val="28"/>
          <w:lang w:eastAsia="ru-RU"/>
        </w:rPr>
        <w:t>в муниципального образования</w:t>
      </w:r>
      <w:r w:rsidRPr="00276789">
        <w:rPr>
          <w:rFonts w:eastAsia="Times New Roman" w:cs="Times New Roman"/>
          <w:b/>
          <w:szCs w:val="28"/>
          <w:lang w:eastAsia="ru-RU"/>
        </w:rPr>
        <w:t xml:space="preserve"> на оплату труда (включая начисления на оплату труда)</w:t>
      </w:r>
    </w:p>
    <w:p w:rsidR="00276789" w:rsidRPr="00276789" w:rsidRDefault="00276789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6789">
        <w:rPr>
          <w:rFonts w:eastAsia="Calibri" w:cs="Times New Roman"/>
          <w:szCs w:val="28"/>
        </w:rPr>
        <w:t xml:space="preserve">Первоочередной задачей исполнения бюджета является обеспечение работников бюджетной сферы выплатой заработной платы своевременно и в полном объёме от заявленной потребности учреждений. Просроченная кредиторская задолженность по заработной плате отсутствует. Величина просроченной кредиторской задолженности по налогам  и фондам </w:t>
      </w:r>
      <w:proofErr w:type="gramStart"/>
      <w:r w:rsidRPr="00276789">
        <w:rPr>
          <w:rFonts w:eastAsia="Calibri" w:cs="Times New Roman"/>
          <w:szCs w:val="28"/>
        </w:rPr>
        <w:t>на конец</w:t>
      </w:r>
      <w:proofErr w:type="gramEnd"/>
      <w:r w:rsidRPr="00276789">
        <w:rPr>
          <w:rFonts w:eastAsia="Calibri" w:cs="Times New Roman"/>
          <w:szCs w:val="28"/>
        </w:rPr>
        <w:t xml:space="preserve"> 2016 года составила 3 649,30 тыс. рублей или 0,09% от общего объема расходов на оплату труда включая начисления на оплату труда.</w:t>
      </w:r>
    </w:p>
    <w:p w:rsidR="00276789" w:rsidRPr="00276789" w:rsidRDefault="00276789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6789">
        <w:rPr>
          <w:rFonts w:eastAsia="Calibri" w:cs="Times New Roman"/>
          <w:szCs w:val="28"/>
        </w:rPr>
        <w:t xml:space="preserve">Общий объем расходов муниципального </w:t>
      </w:r>
      <w:proofErr w:type="gramStart"/>
      <w:r w:rsidRPr="00276789">
        <w:rPr>
          <w:rFonts w:eastAsia="Calibri" w:cs="Times New Roman"/>
          <w:szCs w:val="28"/>
        </w:rPr>
        <w:t>образования</w:t>
      </w:r>
      <w:proofErr w:type="gramEnd"/>
      <w:r w:rsidRPr="00276789">
        <w:rPr>
          <w:rFonts w:eastAsia="Calibri" w:cs="Times New Roman"/>
          <w:szCs w:val="28"/>
        </w:rPr>
        <w:t xml:space="preserve"> по оплате труда включая начисления на оплату труда муниципальных учреждений за 2016 год составил 4 130 941,85 тыс. рублей. По сравнению с 2015 годом в 2016 году наблюдается по всем отраслям бюджетной сферы  снижение объёма расходов на оплату труда и начислений на оплату труда работникам муниципальных бюджетных учреждений на 4,6%.</w:t>
      </w:r>
    </w:p>
    <w:p w:rsidR="00276789" w:rsidRPr="00276789" w:rsidRDefault="00276789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6789">
        <w:rPr>
          <w:rFonts w:eastAsia="Calibri" w:cs="Times New Roman"/>
          <w:szCs w:val="28"/>
        </w:rPr>
        <w:t>В 2017 году объём расходов на оплату труда и начислений на оплату труда работникам муниципальных бюджетных учреждений планируется на уровне 2016 года, а в периоде 2018-2019 годов по всем отраслям бюджетной сферы предусмотрено снижение объёма расходов на оплату труда и начислений на оплату труда работникам муниципальных бюджетных учреждений.</w:t>
      </w:r>
    </w:p>
    <w:p w:rsidR="00733FAB" w:rsidRPr="00A7096F" w:rsidRDefault="002864BA" w:rsidP="002A298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FF0000"/>
          <w:szCs w:val="28"/>
        </w:rPr>
      </w:pPr>
      <w:r w:rsidRPr="00A7096F">
        <w:rPr>
          <w:rFonts w:eastAsia="Calibri" w:cs="Times New Roman"/>
          <w:color w:val="FF0000"/>
          <w:szCs w:val="28"/>
        </w:rPr>
        <w:t xml:space="preserve"> </w:t>
      </w:r>
    </w:p>
    <w:p w:rsidR="002864BA" w:rsidRPr="00276789" w:rsidRDefault="005D5923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35.</w:t>
      </w:r>
      <w:r w:rsidR="002864BA" w:rsidRPr="00276789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Расходы  на  содержание работников органов местного самоуправления  муниципального образования  «Город Астрахань»   за   2016 год  составили 457 433,60 тыс. рублей и уменьшились на 2,5% по сравнению с соответствующим периодом 2015  года, в расчете на 1 работника – 859,66 руб.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В состав расходов на содержание работников органов местного самоуправления вошли расходы на содержание 16 структурных подразделений, а также  расходы на содержание административных комиссий, комиссий по делам несовершеннолетних,  осуществляемые за счет субвенций из областного бюджета.</w:t>
      </w:r>
    </w:p>
    <w:p w:rsidR="00276789" w:rsidRPr="00276789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В плановом периоде расходы бюджета муниципального образования на содержание работников органов местного самоуправления в расчете на 1 жителя составят: в 2017 году – 894,21 руб., в 2018 году – 889,56 руб., в 2019 году – 886,70 руб.</w:t>
      </w:r>
    </w:p>
    <w:p w:rsidR="00276789" w:rsidRPr="00413B38" w:rsidRDefault="00276789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3B38">
        <w:rPr>
          <w:rFonts w:eastAsia="Times New Roman" w:cs="Times New Roman"/>
          <w:szCs w:val="28"/>
          <w:lang w:eastAsia="ru-RU"/>
        </w:rPr>
        <w:t>Общий объем расходов  на  содержание органов местного самоуправления  муниципального образования  «Город Астрахань» в 2017-2019 годов остан</w:t>
      </w:r>
      <w:r w:rsidR="00413B38">
        <w:rPr>
          <w:rFonts w:eastAsia="Times New Roman" w:cs="Times New Roman"/>
          <w:szCs w:val="28"/>
          <w:lang w:eastAsia="ru-RU"/>
        </w:rPr>
        <w:t>е</w:t>
      </w:r>
      <w:r w:rsidRPr="00413B38">
        <w:rPr>
          <w:rFonts w:eastAsia="Times New Roman" w:cs="Times New Roman"/>
          <w:szCs w:val="28"/>
          <w:lang w:eastAsia="ru-RU"/>
        </w:rPr>
        <w:t xml:space="preserve">тся на уровне </w:t>
      </w:r>
      <w:r w:rsidR="00413B38" w:rsidRPr="00413B38">
        <w:rPr>
          <w:rFonts w:eastAsia="Times New Roman" w:cs="Times New Roman"/>
          <w:szCs w:val="28"/>
          <w:lang w:eastAsia="ru-RU"/>
        </w:rPr>
        <w:t xml:space="preserve">планового значения </w:t>
      </w:r>
      <w:r w:rsidRPr="00413B38">
        <w:rPr>
          <w:rFonts w:eastAsia="Times New Roman" w:cs="Times New Roman"/>
          <w:szCs w:val="28"/>
          <w:lang w:eastAsia="ru-RU"/>
        </w:rPr>
        <w:t xml:space="preserve">2016 года. </w:t>
      </w:r>
    </w:p>
    <w:p w:rsidR="00602623" w:rsidRPr="00A7096F" w:rsidRDefault="00602623" w:rsidP="002A298A">
      <w:pPr>
        <w:ind w:firstLine="567"/>
        <w:jc w:val="both"/>
        <w:rPr>
          <w:rFonts w:eastAsia="Times New Roman" w:cs="Times New Roman"/>
          <w:color w:val="FF0000"/>
          <w:szCs w:val="20"/>
          <w:lang w:eastAsia="ru-RU"/>
        </w:rPr>
      </w:pPr>
    </w:p>
    <w:p w:rsidR="00231EE9" w:rsidRPr="0097039B" w:rsidRDefault="00231EE9" w:rsidP="004D2808">
      <w:pPr>
        <w:ind w:firstLine="709"/>
        <w:jc w:val="both"/>
        <w:rPr>
          <w:rFonts w:eastAsia="Calibri" w:cs="Times New Roman"/>
          <w:b/>
          <w:szCs w:val="28"/>
        </w:rPr>
      </w:pPr>
      <w:r w:rsidRPr="0097039B">
        <w:rPr>
          <w:rFonts w:eastAsia="Calibri" w:cs="Times New Roman"/>
          <w:b/>
          <w:szCs w:val="28"/>
        </w:rPr>
        <w:t>36.Наличие в городском о</w:t>
      </w:r>
      <w:r w:rsidR="00BC27CC" w:rsidRPr="0097039B">
        <w:rPr>
          <w:rFonts w:eastAsia="Calibri" w:cs="Times New Roman"/>
          <w:b/>
          <w:szCs w:val="28"/>
        </w:rPr>
        <w:t>круге (муниципальном районе)</w:t>
      </w:r>
      <w:r w:rsidRPr="0097039B">
        <w:rPr>
          <w:rFonts w:eastAsia="Calibri" w:cs="Times New Roman"/>
          <w:b/>
          <w:szCs w:val="28"/>
        </w:rPr>
        <w:t xml:space="preserve"> утвержденного генерального плана городского округа (схемы территориального планирования муниципального района)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proofErr w:type="gramStart"/>
      <w:r w:rsidRPr="0097039B">
        <w:rPr>
          <w:szCs w:val="28"/>
        </w:rPr>
        <w:t>В рамках исполнения полномочий органов местного самоуправления, закрепленных Градостроительным кодексом РФ, в соответствии со Стратегией развития города Астрахани до 2021 года, Генеральным планом развития города до 2025 года в рамках ведомственной целевой программы МО «Город Астрахань» «Реализация Генерального плана развития города Астрахани», в 2016 году</w:t>
      </w:r>
      <w:r w:rsidR="0084092E">
        <w:rPr>
          <w:szCs w:val="28"/>
        </w:rPr>
        <w:t xml:space="preserve"> р</w:t>
      </w:r>
      <w:r w:rsidRPr="0097039B">
        <w:rPr>
          <w:szCs w:val="28"/>
        </w:rPr>
        <w:t xml:space="preserve">ешением Городской Думы </w:t>
      </w:r>
      <w:r w:rsidR="0084092E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 Астрахань» от 17.11.2016 №156 утверждены Правила землепользования и застройки</w:t>
      </w:r>
      <w:proofErr w:type="gramEnd"/>
      <w:r w:rsidRPr="0097039B">
        <w:rPr>
          <w:szCs w:val="28"/>
        </w:rPr>
        <w:t xml:space="preserve"> МО «Город Астрахань», подготовленные на основании изменений, внесенных в 2015 году в Генеральный план развития города Астрахани до 2025 года решением Городской Думы </w:t>
      </w:r>
      <w:r w:rsidR="0084092E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 Астрахань» от 16.04.2015 № 35.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Утвержденные в 2016 году  Правила землепользования и застройки </w:t>
      </w:r>
      <w:r w:rsidR="0084092E" w:rsidRPr="0084092E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 приведены в соответствие с классификатором видов разрешенного использования земельных участков, утвержденных Приказом Минэкономразвития РФ от 01.09.2014 №340 в редакции изменений от 30.09.2015.  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>В 2016 году за счет средств местного бюджета (объем финансирования составил 9 436,00 тыс. руб.) силами МБУ г. Астрахани «Архитектура» разработаны проект (схема) размещения остановочных пунктов на маршрутах городского пассажирского транспорта на территории г. Астрахани, а также  8 проектов планировки территории, общая площадь которой составляет 97,03 га, в том числе: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документация по планировке территории в пос. </w:t>
      </w:r>
      <w:proofErr w:type="gramStart"/>
      <w:r w:rsidRPr="00661174">
        <w:rPr>
          <w:szCs w:val="28"/>
        </w:rPr>
        <w:t>Стрелецкое</w:t>
      </w:r>
      <w:proofErr w:type="gramEnd"/>
      <w:r w:rsidRPr="00661174">
        <w:rPr>
          <w:szCs w:val="28"/>
        </w:rPr>
        <w:t xml:space="preserve"> в </w:t>
      </w:r>
      <w:proofErr w:type="spellStart"/>
      <w:r w:rsidRPr="00661174">
        <w:rPr>
          <w:szCs w:val="28"/>
        </w:rPr>
        <w:t>Трусовском</w:t>
      </w:r>
      <w:proofErr w:type="spellEnd"/>
      <w:r w:rsidRPr="00661174">
        <w:rPr>
          <w:szCs w:val="28"/>
        </w:rPr>
        <w:t xml:space="preserve"> районе для строительства микрорайона малоэтажной жилой застройки (11, 41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>документация по планировке территории для строительства ЛНС и сетей ливневой канализации по ул. Полякова от ул. Савушкина до ул. Куйбышева и по ул. Куйбышева от ул. Полякова до ул. Анри Барбюса в Ленинском районе г. Астрахани  (3,98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проект планировки территории для строительства линейного объекта по ул. </w:t>
      </w:r>
      <w:proofErr w:type="spellStart"/>
      <w:r w:rsidRPr="00661174">
        <w:rPr>
          <w:szCs w:val="28"/>
        </w:rPr>
        <w:t>Н.Островского</w:t>
      </w:r>
      <w:proofErr w:type="spellEnd"/>
      <w:r w:rsidRPr="00661174">
        <w:rPr>
          <w:szCs w:val="28"/>
        </w:rPr>
        <w:t xml:space="preserve"> от ул. Пороховой до развязки по ул. Бродской в Советском районе г. Астрахани (8,75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>проект планировки территории для жилищного строительства в границах улиц Александрова, Адм. Нахимова, 1-я Котельная и берега Золотого Затона в Советском районе г. Астрахани (38,85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проект планировки территории для реконструкции ул. </w:t>
      </w:r>
      <w:proofErr w:type="spellStart"/>
      <w:r w:rsidRPr="00661174">
        <w:rPr>
          <w:szCs w:val="28"/>
        </w:rPr>
        <w:t>Б.Алексеева</w:t>
      </w:r>
      <w:proofErr w:type="spellEnd"/>
      <w:r w:rsidRPr="00661174">
        <w:rPr>
          <w:szCs w:val="28"/>
        </w:rPr>
        <w:t xml:space="preserve"> от ул. Красноармейской до ул. Яблочкова в Ленинском районе г. Астрахани (5,44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>документация по планировке территории в районе железнодорожного вокзала в Ленинском районе г. Астрахани (8,05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документация по планировке территории в границах улиц Ак. Королева, Победы, пл. </w:t>
      </w:r>
      <w:proofErr w:type="spellStart"/>
      <w:r w:rsidRPr="00661174">
        <w:rPr>
          <w:szCs w:val="28"/>
        </w:rPr>
        <w:t>К.Маркса</w:t>
      </w:r>
      <w:proofErr w:type="spellEnd"/>
      <w:r w:rsidRPr="00661174">
        <w:rPr>
          <w:szCs w:val="28"/>
        </w:rPr>
        <w:t>, ул. Калинина в Кировском районе г. Астрахани (19,83 га);</w:t>
      </w:r>
    </w:p>
    <w:p w:rsidR="0097039B" w:rsidRPr="00661174" w:rsidRDefault="0097039B" w:rsidP="004D280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>документация по внесению изменений в документацию по планировке и межеванию территории в районе улицы Еланской в Кировском районе г. Астрахани (0,7192 га).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В соответствии с Градостроительным кодексом Российской Федерации развитие городских территорий (в том числе в центральных районах города),  осуществляется за счет внебюджетных средств на основании решений органа местного самоуправления о развитие застроенных территорий.  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Реализация договоров с инвесторами (застройщиками), заключенных администрацией муниципального образования «Город Астрахань» по результатам аукционов, позволит без привлечения средств местного бюджета комплексно решить вопросы ликвидации ветхого и аварийного жилищного фонда города Астрахани и повышения психологической комфортности проживания  населения. 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>Развитие застроенных территорий позволит осуществить обновление устаревшего жилищного фонда города (с учетом современных требований к качеству жилья, включая требования энергетической эффективности), благоустройство территории и обеспечить территории объектами инженерной, социальной и коммунально-бытовой инфраструктур.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В 2016 году администрацией </w:t>
      </w:r>
      <w:r w:rsidR="00661174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 утверждены решения о развитии 8 застроенных территорий, суммарная площадь которых составляет 25,7 га (104,94% от уровня 2015 года). 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>По результатам аукционов, проведенных в 2016 году, заключено 11 договоров о развитии застроенных территорий на общую площадь 23,5 га (236,42% от уровня 2015 года).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>Продолжалась реализация договоров о развитии застроенных территорий, заключенных</w:t>
      </w:r>
      <w:r w:rsidR="00661174">
        <w:rPr>
          <w:szCs w:val="28"/>
        </w:rPr>
        <w:t xml:space="preserve"> </w:t>
      </w:r>
      <w:r w:rsidRPr="0097039B">
        <w:rPr>
          <w:szCs w:val="28"/>
        </w:rPr>
        <w:t>в предшествующий период</w:t>
      </w:r>
      <w:r w:rsidR="00661174">
        <w:rPr>
          <w:szCs w:val="28"/>
        </w:rPr>
        <w:t xml:space="preserve"> (</w:t>
      </w:r>
      <w:r w:rsidRPr="0097039B">
        <w:rPr>
          <w:szCs w:val="28"/>
        </w:rPr>
        <w:t>2013-2015 год</w:t>
      </w:r>
      <w:r w:rsidR="00661174">
        <w:rPr>
          <w:szCs w:val="28"/>
        </w:rPr>
        <w:t>ы)</w:t>
      </w:r>
      <w:r w:rsidRPr="0097039B">
        <w:rPr>
          <w:szCs w:val="28"/>
        </w:rPr>
        <w:t>.</w:t>
      </w:r>
    </w:p>
    <w:p w:rsidR="0097039B" w:rsidRPr="0097039B" w:rsidRDefault="0097039B" w:rsidP="004D2808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Особую социальную значимость администрация муниципального образования «Город Астрахань» придает  застройке территории в границах улиц Бакинской, Мусы </w:t>
      </w:r>
      <w:proofErr w:type="spellStart"/>
      <w:r w:rsidRPr="0097039B">
        <w:rPr>
          <w:szCs w:val="28"/>
        </w:rPr>
        <w:t>Джалиля</w:t>
      </w:r>
      <w:proofErr w:type="spellEnd"/>
      <w:r w:rsidRPr="0097039B">
        <w:rPr>
          <w:szCs w:val="28"/>
        </w:rPr>
        <w:t xml:space="preserve">, Трофимова, Кирова, </w:t>
      </w:r>
      <w:proofErr w:type="spellStart"/>
      <w:r w:rsidRPr="0097039B">
        <w:rPr>
          <w:szCs w:val="28"/>
        </w:rPr>
        <w:t>Ахшарумова</w:t>
      </w:r>
      <w:proofErr w:type="spellEnd"/>
      <w:r w:rsidRPr="0097039B">
        <w:rPr>
          <w:szCs w:val="28"/>
        </w:rPr>
        <w:t>, Волжской в Советском районе города Астрахани, общая площадь которой составляет 18,43 га.  В отношении данной территории в 2016 году заключены 4 договора о развитии застроенных территорий, в том числе:</w:t>
      </w:r>
    </w:p>
    <w:p w:rsidR="0097039B" w:rsidRPr="00661174" w:rsidRDefault="0097039B" w:rsidP="004D280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застроенная территория в границах улиц Волжской (№№35-39), </w:t>
      </w:r>
      <w:proofErr w:type="spellStart"/>
      <w:r w:rsidRPr="00661174">
        <w:rPr>
          <w:szCs w:val="28"/>
        </w:rPr>
        <w:t>Ахшарумова</w:t>
      </w:r>
      <w:proofErr w:type="spellEnd"/>
      <w:r w:rsidRPr="00661174">
        <w:rPr>
          <w:szCs w:val="28"/>
        </w:rPr>
        <w:t xml:space="preserve"> (№№73-89), Плещеева (№№46-30)  в Советском районе города Астрахани (2,2 га);</w:t>
      </w:r>
    </w:p>
    <w:p w:rsidR="0097039B" w:rsidRPr="00661174" w:rsidRDefault="0097039B" w:rsidP="004D280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застроенная территория части кварталов, ограниченных улицами Бэра (№№28-36),  </w:t>
      </w:r>
      <w:proofErr w:type="spellStart"/>
      <w:r w:rsidRPr="00661174">
        <w:rPr>
          <w:szCs w:val="28"/>
        </w:rPr>
        <w:t>Ахшарумова</w:t>
      </w:r>
      <w:proofErr w:type="spellEnd"/>
      <w:r w:rsidRPr="00661174">
        <w:rPr>
          <w:szCs w:val="28"/>
        </w:rPr>
        <w:t xml:space="preserve"> (№№113-93) в Советском районе города Астрахани (4,81 га);</w:t>
      </w:r>
    </w:p>
    <w:p w:rsidR="0097039B" w:rsidRPr="00661174" w:rsidRDefault="0097039B" w:rsidP="004D280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>застроенная территория части кварталов в границах ул. Плещеева, Волжской, Бакинской в Советском районе города Астраха</w:t>
      </w:r>
      <w:r w:rsidR="00661174">
        <w:rPr>
          <w:szCs w:val="28"/>
        </w:rPr>
        <w:t>ни (2,47 га);</w:t>
      </w:r>
    </w:p>
    <w:p w:rsidR="0097039B" w:rsidRPr="00661174" w:rsidRDefault="0097039B" w:rsidP="004D280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1174">
        <w:rPr>
          <w:szCs w:val="28"/>
        </w:rPr>
        <w:t xml:space="preserve">застроенная территория, ограниченная улицами Бэра, Трофимова, Мусы </w:t>
      </w:r>
      <w:proofErr w:type="spellStart"/>
      <w:r w:rsidRPr="00661174">
        <w:rPr>
          <w:szCs w:val="28"/>
        </w:rPr>
        <w:t>Джалиля</w:t>
      </w:r>
      <w:proofErr w:type="spellEnd"/>
      <w:r w:rsidRPr="00661174">
        <w:rPr>
          <w:szCs w:val="28"/>
        </w:rPr>
        <w:t xml:space="preserve">, </w:t>
      </w:r>
      <w:proofErr w:type="spellStart"/>
      <w:r w:rsidRPr="00661174">
        <w:rPr>
          <w:szCs w:val="28"/>
        </w:rPr>
        <w:t>Ахшарумова</w:t>
      </w:r>
      <w:proofErr w:type="spellEnd"/>
      <w:r w:rsidRPr="00661174">
        <w:rPr>
          <w:szCs w:val="28"/>
        </w:rPr>
        <w:t xml:space="preserve"> в Советском ра</w:t>
      </w:r>
      <w:r w:rsidR="00661174">
        <w:rPr>
          <w:szCs w:val="28"/>
        </w:rPr>
        <w:t>йоне города Астрахани (3,65 га).</w:t>
      </w:r>
    </w:p>
    <w:p w:rsidR="00605BF7" w:rsidRPr="0097039B" w:rsidRDefault="0097039B" w:rsidP="004D2808">
      <w:pPr>
        <w:ind w:firstLine="709"/>
        <w:jc w:val="both"/>
        <w:rPr>
          <w:rFonts w:cs="Arial"/>
          <w:spacing w:val="-5"/>
          <w:szCs w:val="28"/>
          <w:highlight w:val="cyan"/>
        </w:rPr>
      </w:pPr>
      <w:r w:rsidRPr="0097039B">
        <w:rPr>
          <w:szCs w:val="28"/>
        </w:rPr>
        <w:t xml:space="preserve">Кроме того, </w:t>
      </w:r>
      <w:r w:rsidR="00661174">
        <w:rPr>
          <w:szCs w:val="28"/>
        </w:rPr>
        <w:t xml:space="preserve">в 2017 году заключен договор </w:t>
      </w:r>
      <w:r w:rsidRPr="0097039B">
        <w:rPr>
          <w:szCs w:val="28"/>
        </w:rPr>
        <w:t xml:space="preserve">о развитии застроенной территории в границах улиц  Мусы </w:t>
      </w:r>
      <w:proofErr w:type="spellStart"/>
      <w:r w:rsidRPr="0097039B">
        <w:rPr>
          <w:szCs w:val="28"/>
        </w:rPr>
        <w:t>Джалиля</w:t>
      </w:r>
      <w:proofErr w:type="spellEnd"/>
      <w:r w:rsidRPr="0097039B">
        <w:rPr>
          <w:szCs w:val="28"/>
        </w:rPr>
        <w:t xml:space="preserve">, Трофимова, Кирова, </w:t>
      </w:r>
      <w:proofErr w:type="spellStart"/>
      <w:r w:rsidRPr="0097039B">
        <w:rPr>
          <w:szCs w:val="28"/>
        </w:rPr>
        <w:t>Ахшарумова</w:t>
      </w:r>
      <w:proofErr w:type="spellEnd"/>
      <w:r w:rsidRPr="0097039B">
        <w:rPr>
          <w:szCs w:val="28"/>
        </w:rPr>
        <w:t xml:space="preserve"> в Советском р</w:t>
      </w:r>
      <w:r w:rsidR="00661174">
        <w:rPr>
          <w:szCs w:val="28"/>
        </w:rPr>
        <w:t>айоне города Астрахани (5,3 га)</w:t>
      </w:r>
      <w:r w:rsidRPr="0097039B">
        <w:rPr>
          <w:szCs w:val="28"/>
        </w:rPr>
        <w:t>.</w:t>
      </w:r>
      <w:r w:rsidR="00605BF7" w:rsidRPr="0097039B">
        <w:rPr>
          <w:rFonts w:cs="Arial"/>
          <w:spacing w:val="-5"/>
          <w:szCs w:val="28"/>
          <w:highlight w:val="cyan"/>
        </w:rPr>
        <w:t xml:space="preserve"> </w:t>
      </w:r>
    </w:p>
    <w:p w:rsidR="0097039B" w:rsidRPr="00A7096F" w:rsidRDefault="0097039B" w:rsidP="0097039B">
      <w:pPr>
        <w:ind w:firstLine="567"/>
        <w:jc w:val="both"/>
        <w:rPr>
          <w:rFonts w:cs="Arial"/>
          <w:color w:val="FF0000"/>
          <w:szCs w:val="28"/>
          <w:highlight w:val="cyan"/>
        </w:rPr>
      </w:pPr>
    </w:p>
    <w:p w:rsidR="00813867" w:rsidRPr="000F485F" w:rsidRDefault="00813867" w:rsidP="004D28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F485F">
        <w:rPr>
          <w:rFonts w:eastAsia="Times New Roman" w:cs="Times New Roman"/>
          <w:b/>
          <w:szCs w:val="28"/>
          <w:lang w:eastAsia="ru-RU"/>
        </w:rPr>
        <w:t>37.Удовлетворенность населения деятельностью органов местного самоуправления городского округа (муниципального района)</w:t>
      </w:r>
    </w:p>
    <w:p w:rsidR="00B732DF" w:rsidRPr="000F485F" w:rsidRDefault="00B732DF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485F">
        <w:rPr>
          <w:rFonts w:eastAsia="Times New Roman" w:cs="Times New Roman"/>
          <w:szCs w:val="28"/>
          <w:lang w:eastAsia="ru-RU"/>
        </w:rPr>
        <w:t xml:space="preserve">Субъективная оценка населением деятельности органов местного самоуправления также служит показателем оценки эффективности власти. </w:t>
      </w:r>
    </w:p>
    <w:p w:rsidR="00BA5F99" w:rsidRPr="00BA5F99" w:rsidRDefault="00B732DF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5E2F">
        <w:rPr>
          <w:rFonts w:eastAsia="Times New Roman" w:cs="Times New Roman"/>
          <w:szCs w:val="28"/>
          <w:lang w:eastAsia="ru-RU"/>
        </w:rPr>
        <w:t>Деятельность органов местного самоуправления оценена в 201</w:t>
      </w:r>
      <w:r w:rsidR="000F485F" w:rsidRPr="00FA5E2F">
        <w:rPr>
          <w:rFonts w:eastAsia="Times New Roman" w:cs="Times New Roman"/>
          <w:szCs w:val="28"/>
          <w:lang w:eastAsia="ru-RU"/>
        </w:rPr>
        <w:t>6</w:t>
      </w:r>
      <w:r w:rsidRPr="00FA5E2F">
        <w:rPr>
          <w:rFonts w:eastAsia="Times New Roman" w:cs="Times New Roman"/>
          <w:szCs w:val="28"/>
          <w:lang w:eastAsia="ru-RU"/>
        </w:rPr>
        <w:t xml:space="preserve"> году населением г.</w:t>
      </w:r>
      <w:r w:rsidR="00FA5E2F" w:rsidRPr="00FA5E2F">
        <w:rPr>
          <w:rFonts w:eastAsia="Times New Roman" w:cs="Times New Roman"/>
          <w:szCs w:val="28"/>
          <w:lang w:eastAsia="ru-RU"/>
        </w:rPr>
        <w:t xml:space="preserve"> </w:t>
      </w:r>
      <w:r w:rsidRPr="00FA5E2F">
        <w:rPr>
          <w:rFonts w:eastAsia="Times New Roman" w:cs="Times New Roman"/>
          <w:szCs w:val="28"/>
          <w:lang w:eastAsia="ru-RU"/>
        </w:rPr>
        <w:t xml:space="preserve">Астрахани на </w:t>
      </w:r>
      <w:r w:rsidR="000F485F" w:rsidRPr="00FA5E2F">
        <w:rPr>
          <w:rFonts w:eastAsia="Times New Roman" w:cs="Times New Roman"/>
          <w:szCs w:val="28"/>
          <w:lang w:eastAsia="ru-RU"/>
        </w:rPr>
        <w:t>68,8</w:t>
      </w:r>
      <w:r w:rsidRPr="00FA5E2F">
        <w:rPr>
          <w:rFonts w:eastAsia="Times New Roman" w:cs="Times New Roman"/>
          <w:szCs w:val="28"/>
          <w:lang w:eastAsia="ru-RU"/>
        </w:rPr>
        <w:t xml:space="preserve">%, против </w:t>
      </w:r>
      <w:r w:rsidR="000F485F" w:rsidRPr="00FA5E2F">
        <w:rPr>
          <w:rFonts w:eastAsia="Times New Roman" w:cs="Times New Roman"/>
          <w:szCs w:val="28"/>
          <w:lang w:eastAsia="ru-RU"/>
        </w:rPr>
        <w:t>66,7</w:t>
      </w:r>
      <w:r w:rsidRPr="00FA5E2F">
        <w:rPr>
          <w:rFonts w:eastAsia="Times New Roman" w:cs="Times New Roman"/>
          <w:szCs w:val="28"/>
          <w:lang w:eastAsia="ru-RU"/>
        </w:rPr>
        <w:t>% в 201</w:t>
      </w:r>
      <w:r w:rsidR="000F485F" w:rsidRPr="00FA5E2F">
        <w:rPr>
          <w:rFonts w:eastAsia="Times New Roman" w:cs="Times New Roman"/>
          <w:szCs w:val="28"/>
          <w:lang w:eastAsia="ru-RU"/>
        </w:rPr>
        <w:t>5</w:t>
      </w:r>
      <w:r w:rsidRPr="00FA5E2F">
        <w:rPr>
          <w:rFonts w:eastAsia="Times New Roman" w:cs="Times New Roman"/>
          <w:szCs w:val="28"/>
          <w:lang w:eastAsia="ru-RU"/>
        </w:rPr>
        <w:t xml:space="preserve"> году. </w:t>
      </w:r>
      <w:r w:rsidR="00BA5F99" w:rsidRPr="00BA5F99">
        <w:rPr>
          <w:rFonts w:eastAsia="Times New Roman" w:cs="Times New Roman"/>
          <w:szCs w:val="28"/>
          <w:lang w:eastAsia="ru-RU"/>
        </w:rPr>
        <w:t xml:space="preserve">Органы местного самоуправления в своей работе придерживалась принципиальной позиции открытости, соблюдения законности в работе с населением и доступности администрации для </w:t>
      </w:r>
      <w:proofErr w:type="spellStart"/>
      <w:r w:rsidR="00BA5F99" w:rsidRPr="00BA5F99">
        <w:rPr>
          <w:rFonts w:eastAsia="Times New Roman" w:cs="Times New Roman"/>
          <w:szCs w:val="28"/>
          <w:lang w:eastAsia="ru-RU"/>
        </w:rPr>
        <w:t>астраханцев</w:t>
      </w:r>
      <w:proofErr w:type="spellEnd"/>
      <w:r w:rsidR="00BA5F99" w:rsidRPr="00BA5F99">
        <w:rPr>
          <w:rFonts w:eastAsia="Times New Roman" w:cs="Times New Roman"/>
          <w:szCs w:val="28"/>
          <w:lang w:eastAsia="ru-RU"/>
        </w:rPr>
        <w:t>.</w:t>
      </w:r>
    </w:p>
    <w:p w:rsidR="00E177C2" w:rsidRPr="000F485F" w:rsidRDefault="000F485F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485F">
        <w:rPr>
          <w:rFonts w:eastAsia="Times New Roman" w:cs="Times New Roman"/>
          <w:szCs w:val="28"/>
          <w:lang w:eastAsia="ru-RU"/>
        </w:rPr>
        <w:t>Немного снизился</w:t>
      </w:r>
      <w:r w:rsidR="002421B8" w:rsidRPr="000F485F">
        <w:rPr>
          <w:rFonts w:eastAsia="Times New Roman" w:cs="Times New Roman"/>
          <w:szCs w:val="28"/>
          <w:lang w:eastAsia="ru-RU"/>
        </w:rPr>
        <w:t xml:space="preserve"> уров</w:t>
      </w:r>
      <w:r w:rsidR="00FD3E02" w:rsidRPr="000F485F">
        <w:rPr>
          <w:rFonts w:eastAsia="Times New Roman" w:cs="Times New Roman"/>
          <w:szCs w:val="28"/>
          <w:lang w:eastAsia="ru-RU"/>
        </w:rPr>
        <w:t>е</w:t>
      </w:r>
      <w:r w:rsidR="002421B8" w:rsidRPr="000F485F">
        <w:rPr>
          <w:rFonts w:eastAsia="Times New Roman" w:cs="Times New Roman"/>
          <w:szCs w:val="28"/>
          <w:lang w:eastAsia="ru-RU"/>
        </w:rPr>
        <w:t>н</w:t>
      </w:r>
      <w:r w:rsidR="00FD3E02" w:rsidRPr="000F485F">
        <w:rPr>
          <w:rFonts w:eastAsia="Times New Roman" w:cs="Times New Roman"/>
          <w:szCs w:val="28"/>
          <w:lang w:eastAsia="ru-RU"/>
        </w:rPr>
        <w:t>ь</w:t>
      </w:r>
      <w:r w:rsidR="00B732DF" w:rsidRPr="000F485F">
        <w:rPr>
          <w:rFonts w:eastAsia="Times New Roman" w:cs="Times New Roman"/>
          <w:szCs w:val="28"/>
          <w:lang w:eastAsia="ru-RU"/>
        </w:rPr>
        <w:t xml:space="preserve"> удовлетворенност</w:t>
      </w:r>
      <w:r w:rsidR="002421B8" w:rsidRPr="000F485F">
        <w:rPr>
          <w:rFonts w:eastAsia="Times New Roman" w:cs="Times New Roman"/>
          <w:szCs w:val="28"/>
          <w:lang w:eastAsia="ru-RU"/>
        </w:rPr>
        <w:t>и</w:t>
      </w:r>
      <w:r w:rsidR="00B732DF" w:rsidRPr="000F485F">
        <w:rPr>
          <w:rFonts w:eastAsia="Times New Roman" w:cs="Times New Roman"/>
          <w:szCs w:val="28"/>
          <w:lang w:eastAsia="ru-RU"/>
        </w:rPr>
        <w:t xml:space="preserve"> населения </w:t>
      </w:r>
      <w:r w:rsidR="00FD3E02" w:rsidRPr="000F485F">
        <w:rPr>
          <w:rFonts w:eastAsia="Times New Roman" w:cs="Times New Roman"/>
          <w:szCs w:val="28"/>
          <w:lang w:eastAsia="ru-RU"/>
        </w:rPr>
        <w:t>качеством жилищно-коммунальных услуг</w:t>
      </w:r>
      <w:r>
        <w:rPr>
          <w:rFonts w:eastAsia="Times New Roman" w:cs="Times New Roman"/>
          <w:szCs w:val="28"/>
          <w:lang w:eastAsia="ru-RU"/>
        </w:rPr>
        <w:t xml:space="preserve"> (с </w:t>
      </w:r>
      <w:r w:rsidRPr="000F485F">
        <w:rPr>
          <w:rFonts w:eastAsia="Times New Roman" w:cs="Times New Roman"/>
          <w:szCs w:val="28"/>
          <w:lang w:eastAsia="ru-RU"/>
        </w:rPr>
        <w:t>83,6</w:t>
      </w:r>
      <w:r w:rsidR="00E177C2" w:rsidRPr="000F485F">
        <w:rPr>
          <w:rFonts w:eastAsia="Times New Roman" w:cs="Times New Roman"/>
          <w:szCs w:val="28"/>
          <w:lang w:eastAsia="ru-RU"/>
        </w:rPr>
        <w:t>% в 201</w:t>
      </w:r>
      <w:r w:rsidRPr="000F485F">
        <w:rPr>
          <w:rFonts w:eastAsia="Times New Roman" w:cs="Times New Roman"/>
          <w:szCs w:val="28"/>
          <w:lang w:eastAsia="ru-RU"/>
        </w:rPr>
        <w:t>5</w:t>
      </w:r>
      <w:r w:rsidR="00E177C2" w:rsidRPr="000F485F">
        <w:rPr>
          <w:rFonts w:eastAsia="Times New Roman" w:cs="Times New Roman"/>
          <w:szCs w:val="28"/>
          <w:lang w:eastAsia="ru-RU"/>
        </w:rPr>
        <w:t xml:space="preserve"> году до </w:t>
      </w:r>
      <w:r w:rsidRPr="000F485F">
        <w:rPr>
          <w:rFonts w:eastAsia="Times New Roman" w:cs="Times New Roman"/>
          <w:szCs w:val="28"/>
          <w:lang w:eastAsia="ru-RU"/>
        </w:rPr>
        <w:t>82,6</w:t>
      </w:r>
      <w:r w:rsidR="00E177C2" w:rsidRPr="000F485F">
        <w:rPr>
          <w:rFonts w:eastAsia="Times New Roman" w:cs="Times New Roman"/>
          <w:szCs w:val="28"/>
          <w:lang w:eastAsia="ru-RU"/>
        </w:rPr>
        <w:t>% в 201</w:t>
      </w:r>
      <w:r w:rsidRPr="000F485F">
        <w:rPr>
          <w:rFonts w:eastAsia="Times New Roman" w:cs="Times New Roman"/>
          <w:szCs w:val="28"/>
          <w:lang w:eastAsia="ru-RU"/>
        </w:rPr>
        <w:t>6</w:t>
      </w:r>
      <w:r w:rsidR="00E177C2" w:rsidRPr="000F485F">
        <w:rPr>
          <w:rFonts w:eastAsia="Times New Roman" w:cs="Times New Roman"/>
          <w:szCs w:val="28"/>
          <w:lang w:eastAsia="ru-RU"/>
        </w:rPr>
        <w:t xml:space="preserve"> году)</w:t>
      </w:r>
      <w:r w:rsidR="00FA5E2F">
        <w:rPr>
          <w:rFonts w:eastAsia="Times New Roman" w:cs="Times New Roman"/>
          <w:szCs w:val="28"/>
          <w:lang w:eastAsia="ru-RU"/>
        </w:rPr>
        <w:t>.</w:t>
      </w:r>
      <w:r w:rsidR="00E177C2" w:rsidRPr="000F485F">
        <w:rPr>
          <w:rFonts w:eastAsia="Times New Roman" w:cs="Times New Roman"/>
          <w:szCs w:val="28"/>
          <w:lang w:eastAsia="ru-RU"/>
        </w:rPr>
        <w:t xml:space="preserve"> </w:t>
      </w:r>
      <w:r w:rsidR="00EF3EED">
        <w:rPr>
          <w:rFonts w:eastAsia="Times New Roman" w:cs="Times New Roman"/>
          <w:szCs w:val="28"/>
          <w:lang w:eastAsia="ru-RU"/>
        </w:rPr>
        <w:t xml:space="preserve">Тем не менее, выросла удовлетворенность </w:t>
      </w:r>
      <w:r w:rsidR="00E177C2" w:rsidRPr="000F485F">
        <w:rPr>
          <w:rFonts w:eastAsia="Times New Roman" w:cs="Times New Roman"/>
          <w:szCs w:val="28"/>
          <w:lang w:eastAsia="ru-RU"/>
        </w:rPr>
        <w:t>уровнем организации:</w:t>
      </w:r>
    </w:p>
    <w:p w:rsidR="00E177C2" w:rsidRPr="000F485F" w:rsidRDefault="00E177C2" w:rsidP="004D280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</w:rPr>
      </w:pPr>
      <w:r w:rsidRPr="000F485F">
        <w:rPr>
          <w:rFonts w:eastAsia="Calibri" w:cs="Times New Roman"/>
        </w:rPr>
        <w:t xml:space="preserve">теплоснабжения (снабжение населения топливом) – </w:t>
      </w:r>
      <w:r w:rsidR="000F485F" w:rsidRPr="000F485F">
        <w:rPr>
          <w:rFonts w:eastAsia="Calibri" w:cs="Times New Roman"/>
        </w:rPr>
        <w:t>75</w:t>
      </w:r>
      <w:r w:rsidRPr="000F485F">
        <w:rPr>
          <w:rFonts w:eastAsia="Calibri" w:cs="Times New Roman"/>
        </w:rPr>
        <w:t>%;</w:t>
      </w:r>
    </w:p>
    <w:p w:rsidR="00E177C2" w:rsidRPr="000F485F" w:rsidRDefault="00E177C2" w:rsidP="004D280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</w:rPr>
      </w:pPr>
      <w:r w:rsidRPr="000F485F">
        <w:rPr>
          <w:rFonts w:eastAsia="Calibri" w:cs="Times New Roman"/>
        </w:rPr>
        <w:t xml:space="preserve">водоснабжения – </w:t>
      </w:r>
      <w:r w:rsidR="000F485F" w:rsidRPr="000F485F">
        <w:rPr>
          <w:rFonts w:eastAsia="Calibri" w:cs="Times New Roman"/>
        </w:rPr>
        <w:t>83,2</w:t>
      </w:r>
      <w:r w:rsidRPr="000F485F">
        <w:rPr>
          <w:rFonts w:eastAsia="Calibri" w:cs="Times New Roman"/>
        </w:rPr>
        <w:t>%;</w:t>
      </w:r>
    </w:p>
    <w:p w:rsidR="00E177C2" w:rsidRPr="000F485F" w:rsidRDefault="00E177C2" w:rsidP="004D280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</w:rPr>
      </w:pPr>
      <w:r w:rsidRPr="000F485F">
        <w:rPr>
          <w:rFonts w:eastAsia="Calibri" w:cs="Times New Roman"/>
        </w:rPr>
        <w:t xml:space="preserve">электроснабжения – </w:t>
      </w:r>
      <w:r w:rsidR="000F485F" w:rsidRPr="000F485F">
        <w:rPr>
          <w:rFonts w:eastAsia="Calibri" w:cs="Times New Roman"/>
        </w:rPr>
        <w:t>87,7</w:t>
      </w:r>
      <w:r w:rsidRPr="000F485F">
        <w:rPr>
          <w:rFonts w:eastAsia="Calibri" w:cs="Times New Roman"/>
        </w:rPr>
        <w:t>%;</w:t>
      </w:r>
    </w:p>
    <w:p w:rsidR="00E177C2" w:rsidRPr="000F485F" w:rsidRDefault="00E177C2" w:rsidP="004D280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</w:rPr>
      </w:pPr>
      <w:r w:rsidRPr="000F485F">
        <w:rPr>
          <w:rFonts w:eastAsia="Calibri" w:cs="Times New Roman"/>
        </w:rPr>
        <w:t xml:space="preserve">газоснабжения – </w:t>
      </w:r>
      <w:r w:rsidR="000F485F" w:rsidRPr="000F485F">
        <w:rPr>
          <w:rFonts w:eastAsia="Calibri" w:cs="Times New Roman"/>
        </w:rPr>
        <w:t>96,6</w:t>
      </w:r>
      <w:r w:rsidRPr="000F485F">
        <w:rPr>
          <w:rFonts w:eastAsia="Calibri" w:cs="Times New Roman"/>
        </w:rPr>
        <w:t>%.</w:t>
      </w:r>
    </w:p>
    <w:p w:rsidR="00E177C2" w:rsidRPr="00733FAB" w:rsidRDefault="004B2872" w:rsidP="004D2808">
      <w:pPr>
        <w:ind w:firstLine="709"/>
        <w:jc w:val="both"/>
        <w:rPr>
          <w:rFonts w:eastAsia="Calibri" w:cs="Times New Roman"/>
        </w:rPr>
      </w:pPr>
      <w:r w:rsidRPr="00733FAB">
        <w:rPr>
          <w:rFonts w:eastAsia="Calibri" w:cs="Times New Roman"/>
        </w:rPr>
        <w:t xml:space="preserve">Данный факт </w:t>
      </w:r>
      <w:r w:rsidR="00E177C2" w:rsidRPr="00733FAB">
        <w:rPr>
          <w:rFonts w:eastAsia="Calibri" w:cs="Times New Roman"/>
        </w:rPr>
        <w:t>обусловлен</w:t>
      </w:r>
      <w:r w:rsidRPr="00733FAB">
        <w:rPr>
          <w:rFonts w:eastAsia="Calibri" w:cs="Times New Roman"/>
        </w:rPr>
        <w:t xml:space="preserve"> своевременным ремонтом коммунальных сетей города, а также применением энергосберегающих технологий.</w:t>
      </w:r>
    </w:p>
    <w:p w:rsidR="000F485F" w:rsidRPr="009A08E1" w:rsidRDefault="000F485F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08E1">
        <w:rPr>
          <w:rFonts w:eastAsia="Times New Roman" w:cs="Times New Roman"/>
          <w:szCs w:val="28"/>
          <w:lang w:eastAsia="ru-RU"/>
        </w:rPr>
        <w:t>Повысился уровень удовлетворенности населения качеством автомобильных дорог в муниципальном образовании до 22,7% против 13,5% в 2015 году</w:t>
      </w:r>
      <w:r w:rsidR="009A08E1" w:rsidRPr="009A08E1">
        <w:rPr>
          <w:rFonts w:eastAsia="Times New Roman" w:cs="Times New Roman"/>
          <w:szCs w:val="28"/>
          <w:lang w:eastAsia="ru-RU"/>
        </w:rPr>
        <w:t xml:space="preserve"> в связи с ремонтом дорожного полотна на улицах города. Кроме того, в отчетном году </w:t>
      </w:r>
      <w:r w:rsidR="009A08E1">
        <w:rPr>
          <w:rFonts w:eastAsia="Times New Roman" w:cs="Times New Roman"/>
          <w:szCs w:val="28"/>
          <w:lang w:eastAsia="ru-RU"/>
        </w:rPr>
        <w:t xml:space="preserve">               </w:t>
      </w:r>
      <w:r w:rsidR="009A08E1" w:rsidRPr="009A08E1">
        <w:rPr>
          <w:rFonts w:eastAsia="Times New Roman" w:cs="Times New Roman"/>
          <w:szCs w:val="28"/>
          <w:lang w:eastAsia="ru-RU"/>
        </w:rPr>
        <w:t>г.</w:t>
      </w:r>
      <w:r w:rsidR="009A08E1">
        <w:rPr>
          <w:rFonts w:eastAsia="Times New Roman" w:cs="Times New Roman"/>
          <w:szCs w:val="28"/>
          <w:lang w:eastAsia="ru-RU"/>
        </w:rPr>
        <w:t xml:space="preserve"> </w:t>
      </w:r>
      <w:r w:rsidR="009A08E1" w:rsidRPr="009A08E1">
        <w:rPr>
          <w:rFonts w:eastAsia="Times New Roman" w:cs="Times New Roman"/>
          <w:szCs w:val="28"/>
          <w:lang w:eastAsia="ru-RU"/>
        </w:rPr>
        <w:t>Астрахань стала участником федерального проекта « Безопасные и качественные дороги»</w:t>
      </w:r>
      <w:r w:rsidR="009A08E1">
        <w:rPr>
          <w:rFonts w:eastAsia="Times New Roman" w:cs="Times New Roman"/>
          <w:szCs w:val="28"/>
          <w:lang w:eastAsia="ru-RU"/>
        </w:rPr>
        <w:t>.</w:t>
      </w:r>
    </w:p>
    <w:p w:rsidR="00B732DF" w:rsidRPr="009A08E1" w:rsidRDefault="00E177C2" w:rsidP="004D2808">
      <w:pPr>
        <w:ind w:firstLine="709"/>
        <w:jc w:val="both"/>
        <w:rPr>
          <w:rFonts w:eastAsia="Calibri" w:cs="Times New Roman"/>
        </w:rPr>
      </w:pPr>
      <w:r w:rsidRPr="009A08E1">
        <w:rPr>
          <w:rFonts w:eastAsia="Times New Roman" w:cs="Times New Roman"/>
          <w:szCs w:val="28"/>
          <w:lang w:eastAsia="ru-RU"/>
        </w:rPr>
        <w:t xml:space="preserve">Снизился уровень удовлетворенности </w:t>
      </w:r>
      <w:r w:rsidR="00B732DF" w:rsidRPr="009A08E1">
        <w:rPr>
          <w:rFonts w:eastAsia="Times New Roman" w:cs="Times New Roman"/>
          <w:szCs w:val="28"/>
          <w:lang w:eastAsia="ru-RU"/>
        </w:rPr>
        <w:t xml:space="preserve">организацией транспортного обслуживания в муниципальном образовании – </w:t>
      </w:r>
      <w:r w:rsidR="002421B8" w:rsidRPr="009A08E1">
        <w:rPr>
          <w:rFonts w:eastAsia="Times New Roman" w:cs="Times New Roman"/>
          <w:szCs w:val="28"/>
          <w:lang w:eastAsia="ru-RU"/>
        </w:rPr>
        <w:t xml:space="preserve">до </w:t>
      </w:r>
      <w:r w:rsidR="000F485F" w:rsidRPr="009A08E1">
        <w:rPr>
          <w:rFonts w:eastAsia="Times New Roman" w:cs="Times New Roman"/>
          <w:szCs w:val="28"/>
          <w:lang w:eastAsia="ru-RU"/>
        </w:rPr>
        <w:t>47,7</w:t>
      </w:r>
      <w:r w:rsidR="00B732DF" w:rsidRPr="009A08E1">
        <w:rPr>
          <w:rFonts w:eastAsia="Times New Roman" w:cs="Times New Roman"/>
          <w:szCs w:val="28"/>
          <w:lang w:eastAsia="ru-RU"/>
        </w:rPr>
        <w:t>%</w:t>
      </w:r>
      <w:r w:rsidR="002421B8" w:rsidRPr="009A08E1">
        <w:rPr>
          <w:rFonts w:eastAsia="Times New Roman" w:cs="Times New Roman"/>
          <w:szCs w:val="28"/>
          <w:lang w:eastAsia="ru-RU"/>
        </w:rPr>
        <w:t xml:space="preserve"> (в 201</w:t>
      </w:r>
      <w:r w:rsidR="000F485F" w:rsidRPr="009A08E1">
        <w:rPr>
          <w:rFonts w:eastAsia="Times New Roman" w:cs="Times New Roman"/>
          <w:szCs w:val="28"/>
          <w:lang w:eastAsia="ru-RU"/>
        </w:rPr>
        <w:t>5</w:t>
      </w:r>
      <w:r w:rsidR="002421B8" w:rsidRPr="009A08E1">
        <w:rPr>
          <w:rFonts w:eastAsia="Times New Roman" w:cs="Times New Roman"/>
          <w:szCs w:val="28"/>
          <w:lang w:eastAsia="ru-RU"/>
        </w:rPr>
        <w:t xml:space="preserve"> г</w:t>
      </w:r>
      <w:r w:rsidR="000F485F" w:rsidRPr="009A08E1">
        <w:rPr>
          <w:rFonts w:eastAsia="Times New Roman" w:cs="Times New Roman"/>
          <w:szCs w:val="28"/>
          <w:lang w:eastAsia="ru-RU"/>
        </w:rPr>
        <w:t>оду</w:t>
      </w:r>
      <w:r w:rsidR="002421B8" w:rsidRPr="009A08E1">
        <w:rPr>
          <w:rFonts w:eastAsia="Times New Roman" w:cs="Times New Roman"/>
          <w:szCs w:val="28"/>
          <w:lang w:eastAsia="ru-RU"/>
        </w:rPr>
        <w:t xml:space="preserve"> – </w:t>
      </w:r>
      <w:r w:rsidR="000F485F" w:rsidRPr="009A08E1">
        <w:rPr>
          <w:rFonts w:eastAsia="Times New Roman" w:cs="Times New Roman"/>
          <w:szCs w:val="28"/>
          <w:lang w:eastAsia="ru-RU"/>
        </w:rPr>
        <w:t>55,2</w:t>
      </w:r>
      <w:r w:rsidR="002421B8" w:rsidRPr="009A08E1">
        <w:rPr>
          <w:rFonts w:eastAsia="Times New Roman" w:cs="Times New Roman"/>
          <w:szCs w:val="28"/>
          <w:lang w:eastAsia="ru-RU"/>
        </w:rPr>
        <w:t>%)</w:t>
      </w:r>
      <w:r w:rsidR="00B732DF" w:rsidRPr="009A08E1">
        <w:rPr>
          <w:rFonts w:eastAsia="Times New Roman" w:cs="Times New Roman"/>
          <w:szCs w:val="28"/>
          <w:lang w:eastAsia="ru-RU"/>
        </w:rPr>
        <w:t>.</w:t>
      </w:r>
      <w:r w:rsidR="000F485F" w:rsidRPr="009A08E1">
        <w:rPr>
          <w:rFonts w:eastAsia="Times New Roman" w:cs="Times New Roman"/>
          <w:szCs w:val="28"/>
          <w:lang w:eastAsia="ru-RU"/>
        </w:rPr>
        <w:t xml:space="preserve"> </w:t>
      </w:r>
      <w:r w:rsidR="002421B8" w:rsidRPr="009A08E1">
        <w:rPr>
          <w:rFonts w:eastAsia="Times New Roman" w:cs="Times New Roman"/>
          <w:szCs w:val="28"/>
          <w:lang w:eastAsia="ru-RU"/>
        </w:rPr>
        <w:t>Этому способствовал</w:t>
      </w:r>
      <w:r w:rsidR="002E4A56" w:rsidRPr="009A08E1">
        <w:rPr>
          <w:rFonts w:eastAsia="Times New Roman" w:cs="Times New Roman"/>
          <w:szCs w:val="28"/>
          <w:lang w:eastAsia="ru-RU"/>
        </w:rPr>
        <w:t>и</w:t>
      </w:r>
      <w:r w:rsidR="002421B8" w:rsidRPr="009A08E1">
        <w:rPr>
          <w:rFonts w:eastAsia="Times New Roman" w:cs="Times New Roman"/>
          <w:szCs w:val="28"/>
          <w:lang w:eastAsia="ru-RU"/>
        </w:rPr>
        <w:t xml:space="preserve"> </w:t>
      </w:r>
      <w:r w:rsidRPr="009A08E1">
        <w:rPr>
          <w:rFonts w:eastAsia="Times New Roman" w:cs="Times New Roman"/>
          <w:szCs w:val="28"/>
          <w:lang w:eastAsia="ru-RU"/>
        </w:rPr>
        <w:t>изношенность городского транспорта, осуществляющего перевозки населения</w:t>
      </w:r>
      <w:r w:rsidR="002E4A56" w:rsidRPr="009A08E1">
        <w:rPr>
          <w:rFonts w:eastAsia="Times New Roman" w:cs="Times New Roman"/>
          <w:szCs w:val="28"/>
          <w:lang w:eastAsia="ru-RU"/>
        </w:rPr>
        <w:t>, а также сокращение маршрутов</w:t>
      </w:r>
      <w:r w:rsidR="00955EEC" w:rsidRPr="009A08E1">
        <w:rPr>
          <w:rFonts w:eastAsia="Times New Roman" w:cs="Times New Roman"/>
          <w:szCs w:val="28"/>
          <w:lang w:eastAsia="ru-RU"/>
        </w:rPr>
        <w:t>.</w:t>
      </w:r>
    </w:p>
    <w:p w:rsidR="00733FAB" w:rsidRPr="00A7096F" w:rsidRDefault="00733FAB" w:rsidP="002A298A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773298" w:rsidRDefault="006D427D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73298">
        <w:rPr>
          <w:rFonts w:eastAsia="Times New Roman" w:cs="Times New Roman"/>
          <w:b/>
          <w:szCs w:val="28"/>
          <w:lang w:eastAsia="ru-RU"/>
        </w:rPr>
        <w:t>38.Среднегодовая численность постоянного населения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По данным </w:t>
      </w:r>
      <w:proofErr w:type="spellStart"/>
      <w:r w:rsidRPr="00773298">
        <w:rPr>
          <w:rFonts w:eastAsia="Times New Roman" w:cs="Times New Roman"/>
          <w:szCs w:val="28"/>
          <w:lang w:eastAsia="ru-RU"/>
        </w:rPr>
        <w:t>Астраханьстата</w:t>
      </w:r>
      <w:proofErr w:type="spellEnd"/>
      <w:r w:rsidRPr="00773298">
        <w:rPr>
          <w:rFonts w:eastAsia="Times New Roman" w:cs="Times New Roman"/>
          <w:szCs w:val="28"/>
          <w:lang w:eastAsia="ru-RU"/>
        </w:rPr>
        <w:t xml:space="preserve"> среднегодовая численность постоянного населения в 2016 году составила 532,112 тыс. человек и практически сохранилась на уровне 2015 года.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Стабильная динамика численности населения города на протяжении ряда лет формировалась за счет ежегодного улучшения демографической ситуации.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Небольшое снижение числа родившихся в 2016 году (7 725 чел. против  7 742 чел. в 2015 году) и продолжающееся снижение смертности (6 254 чел. против 6 275 чел. в 2015 году) способствовали естественному приросту населения (1 471 чел.). 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Исходя из установившихся тенденций и  положительных изменений в демографической ситуации,  в 2017-2019 годах прогнозируется дальнейший рост численности населения г. Астрахани.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Продолжится устойчивый рост рождаемости. Так, в 2017 году число родившихся составит 7 772 чел., в 2018 году – 7 801 чел., в 2019 году – 7 801 чел. Одним из факторов, способствующих такой динамике, является </w:t>
      </w:r>
      <w:r w:rsidRPr="00773298">
        <w:rPr>
          <w:rFonts w:eastAsia="Calibri" w:cs="Times New Roman"/>
        </w:rPr>
        <w:t>тенденция к рождению вторых и последующих детей</w:t>
      </w:r>
      <w:r w:rsidRPr="00773298">
        <w:rPr>
          <w:rFonts w:eastAsia="Times New Roman" w:cs="Times New Roman"/>
          <w:szCs w:val="28"/>
          <w:lang w:eastAsia="ru-RU"/>
        </w:rPr>
        <w:t>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В планируемом трехлетнем периоде также прогнозируется снижение числа умерших: в 2017 году – до 6 220 чел., в 2018 году – до 6 188 чел., в 2019 году – до 6 184 чел. </w:t>
      </w:r>
    </w:p>
    <w:p w:rsidR="00773298" w:rsidRPr="00773298" w:rsidRDefault="00773298" w:rsidP="004D28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В результате сохранения стабильного уровня рождаемости при продолжающемся снижении показателей смертности в целом по городу планируется естественный прирост населения.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 xml:space="preserve">Миграционная убыль 2019 года не окажет отрицательного влияния на рост численности населения. </w:t>
      </w:r>
    </w:p>
    <w:p w:rsidR="00773298" w:rsidRPr="00773298" w:rsidRDefault="00773298" w:rsidP="004D28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3298">
        <w:rPr>
          <w:rFonts w:eastAsia="Times New Roman" w:cs="Times New Roman"/>
          <w:szCs w:val="28"/>
          <w:lang w:eastAsia="ru-RU"/>
        </w:rPr>
        <w:t>В прогнозируемом периоде планируется ежегодный рост среднегодовой численности постоянного населения: в 2017 году – до 533,429 тыс. человек, в 2018 году – до 535,261 тыс. человек, в 2018 году – до 536,715 тыс. человек.</w:t>
      </w:r>
    </w:p>
    <w:p w:rsidR="00C27E09" w:rsidRPr="00773298" w:rsidRDefault="00C27E09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6B7D" w:rsidRPr="00D30F81" w:rsidRDefault="00D06B7D" w:rsidP="004D2808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Энергосбережение и повышение энергетической эффективности</w:t>
      </w:r>
    </w:p>
    <w:p w:rsidR="00041DC0" w:rsidRPr="00D30F81" w:rsidRDefault="00041DC0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5B3" w:rsidRPr="00D30F81" w:rsidRDefault="007B65B3" w:rsidP="004D28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энергосберегающей политики является жилищно-коммунальное хозяйство (ЖКХ). Для повышения эффективности энергосбережения в ЖКХ большое значение имеет не только внедрение новейшего оборудования или технологий, но также рациональное использование </w:t>
      </w:r>
      <w:r w:rsidR="002F3A28"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>энергоресурсов</w:t>
      </w:r>
      <w:r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6B7D" w:rsidRPr="00A7096F" w:rsidRDefault="00D06B7D" w:rsidP="004D280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30F81" w:rsidRPr="00D30F81" w:rsidRDefault="00D30F81" w:rsidP="004D2808">
      <w:pPr>
        <w:ind w:firstLine="709"/>
        <w:jc w:val="both"/>
        <w:rPr>
          <w:b/>
          <w:szCs w:val="28"/>
        </w:rPr>
      </w:pPr>
      <w:r w:rsidRPr="00D30F81">
        <w:rPr>
          <w:b/>
          <w:szCs w:val="28"/>
        </w:rPr>
        <w:t>39.Удельная величина потребления энергетических ресурсов в многоквартирных домах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Удельное потребление энергетических ресурсов в многоквартирных домах  в 2016 году составило:</w:t>
      </w:r>
    </w:p>
    <w:p w:rsidR="00D30F81" w:rsidRPr="00427CA7" w:rsidRDefault="00D30F81" w:rsidP="004D2808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электрическая энергия – 717,01 кВт час на 1 проживающего (720,20 кВт час в 2015 году);</w:t>
      </w:r>
    </w:p>
    <w:p w:rsidR="00D30F81" w:rsidRPr="00427CA7" w:rsidRDefault="00D30F81" w:rsidP="004D2808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тепловая энергия – 0,16 Гкал на 1 кв. метр общей площади (0,16 Гкал в 2015 году.);</w:t>
      </w:r>
    </w:p>
    <w:p w:rsidR="00D30F81" w:rsidRPr="00427CA7" w:rsidRDefault="00D30F81" w:rsidP="004D2808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горячая вода – 22,76 куб. метров на 1 проживающего (22,86 куб. метров в 2015 году);</w:t>
      </w:r>
    </w:p>
    <w:p w:rsidR="00D30F81" w:rsidRPr="00427CA7" w:rsidRDefault="00D30F81" w:rsidP="004D2808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холодная вода – 50,88 куб. метров на 1 проживающего (50,98 куб. метров в 2015 году);</w:t>
      </w:r>
    </w:p>
    <w:p w:rsidR="00D30F81" w:rsidRPr="00427CA7" w:rsidRDefault="00D30F81" w:rsidP="004D2808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природный газ – 244,75 куб. метров на 1 проживающего (244,77 куб. метров в 2015 году).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Удельная величина потребления электроэнергии в 2016 г</w:t>
      </w:r>
      <w:r w:rsidR="00661174">
        <w:rPr>
          <w:szCs w:val="28"/>
        </w:rPr>
        <w:t xml:space="preserve">оду </w:t>
      </w:r>
      <w:r w:rsidRPr="00D30F81">
        <w:rPr>
          <w:szCs w:val="28"/>
        </w:rPr>
        <w:t xml:space="preserve">уменьшилась в связи с применением в многоквартирных домах </w:t>
      </w:r>
      <w:proofErr w:type="spellStart"/>
      <w:r w:rsidRPr="00D30F81">
        <w:rPr>
          <w:szCs w:val="28"/>
        </w:rPr>
        <w:t>энергоэффективного</w:t>
      </w:r>
      <w:proofErr w:type="spellEnd"/>
      <w:r w:rsidRPr="00D30F81">
        <w:rPr>
          <w:szCs w:val="28"/>
        </w:rPr>
        <w:t xml:space="preserve"> оборудования и энергосберегающих технологий (ламп и телевизоров на основе светодиодов, датчиков движения, современных электробытовых приборов с высоким уровнем </w:t>
      </w:r>
      <w:proofErr w:type="spellStart"/>
      <w:r w:rsidRPr="00D30F81">
        <w:rPr>
          <w:szCs w:val="28"/>
        </w:rPr>
        <w:t>энергоэффективности</w:t>
      </w:r>
      <w:proofErr w:type="spellEnd"/>
      <w:r w:rsidRPr="00D30F81">
        <w:rPr>
          <w:szCs w:val="28"/>
        </w:rPr>
        <w:t xml:space="preserve"> и т.д.).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Удельная величина потребления тепловой энергии в 2016 г</w:t>
      </w:r>
      <w:r w:rsidR="00661174">
        <w:rPr>
          <w:szCs w:val="28"/>
        </w:rPr>
        <w:t>оду</w:t>
      </w:r>
      <w:r w:rsidRPr="00D30F81">
        <w:rPr>
          <w:szCs w:val="28"/>
        </w:rPr>
        <w:t xml:space="preserve"> осталась на прежнем уровне в связи с равномерным ростом отапливаемой площади многоквартирных домов и объема потребления тепловой энергии.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proofErr w:type="gramStart"/>
      <w:r w:rsidRPr="00D30F81">
        <w:rPr>
          <w:szCs w:val="28"/>
        </w:rPr>
        <w:t>Удельная величина потребления природного газа в 2016 г</w:t>
      </w:r>
      <w:r w:rsidR="00661174">
        <w:rPr>
          <w:szCs w:val="28"/>
        </w:rPr>
        <w:t>оду</w:t>
      </w:r>
      <w:r w:rsidRPr="00D30F81">
        <w:rPr>
          <w:szCs w:val="28"/>
        </w:rPr>
        <w:t xml:space="preserve"> уменьшилась в результате превышения темпа роста числа проживающих в многоквартирных домах над темпом роста объема потребления </w:t>
      </w:r>
      <w:r w:rsidR="002E4A56">
        <w:rPr>
          <w:szCs w:val="28"/>
        </w:rPr>
        <w:t>природного газа</w:t>
      </w:r>
      <w:r w:rsidRPr="00D30F81">
        <w:rPr>
          <w:szCs w:val="28"/>
        </w:rPr>
        <w:t>.</w:t>
      </w:r>
      <w:proofErr w:type="gramEnd"/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Удельные величины потребления горячей и холодной воды уменьшились в связи с проведением мероприятий по энергосбережению: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индивидуальных и общедомовых приборов учета;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стабилизаторов давления (понижение давление и выравнивание давления по этажам);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теплоизоляция трубопроводов ГВС (подающего и циркуляционного);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экономичных душевых сеток;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в квартирах клавишных кранов и смесителей;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шаровых кранов в точках коллективного водозабора;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двухсекционных раковин;</w:t>
      </w:r>
    </w:p>
    <w:p w:rsidR="00D30F81" w:rsidRPr="00427CA7" w:rsidRDefault="00D30F81" w:rsidP="004D2808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установка двухрежимных смывных бачков.</w:t>
      </w:r>
    </w:p>
    <w:p w:rsidR="00D30F81" w:rsidRPr="00D30F81" w:rsidRDefault="00D30F81" w:rsidP="00D30F81">
      <w:pPr>
        <w:ind w:firstLine="567"/>
        <w:jc w:val="both"/>
        <w:rPr>
          <w:b/>
          <w:szCs w:val="28"/>
        </w:rPr>
      </w:pPr>
    </w:p>
    <w:p w:rsidR="00D30F81" w:rsidRPr="00D30F81" w:rsidRDefault="00D30F81" w:rsidP="004D2808">
      <w:pPr>
        <w:ind w:firstLine="709"/>
        <w:jc w:val="both"/>
        <w:rPr>
          <w:b/>
          <w:szCs w:val="28"/>
        </w:rPr>
      </w:pPr>
      <w:r w:rsidRPr="00D30F81">
        <w:rPr>
          <w:b/>
          <w:szCs w:val="28"/>
        </w:rPr>
        <w:t>40.Удельная величина потребления энергетических ресурсов муниципальными бюджетными учреждениями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Удельное потребление энергетических ресурсов муниципальными бюджетными учреждениями в 2016 году составило:</w:t>
      </w:r>
    </w:p>
    <w:p w:rsidR="00D30F81" w:rsidRPr="00427CA7" w:rsidRDefault="00D30F81" w:rsidP="004D2808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электрическая энергия – 22,55 кВт час на 1 человека населения (23,26 кВт час в 2015 году);</w:t>
      </w:r>
    </w:p>
    <w:p w:rsidR="00D30F81" w:rsidRPr="00427CA7" w:rsidRDefault="00D30F81" w:rsidP="004D2808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тепловая энергия – 0,06 Гкал на 1 кв. метр общей площади (0,06 Гкал в 2015 году);</w:t>
      </w:r>
    </w:p>
    <w:p w:rsidR="00D30F81" w:rsidRPr="00427CA7" w:rsidRDefault="00D30F81" w:rsidP="004D2808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горячая вода – 0,19 куб. метров на 1 человека населения (0,19 куб. метров в 2015 году);</w:t>
      </w:r>
    </w:p>
    <w:p w:rsidR="00D30F81" w:rsidRPr="00427CA7" w:rsidRDefault="00D30F81" w:rsidP="004D2808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холодная вода  – 1,60 куб. метров на 1 человека населения (1,65 куб. метров в 2015 году);</w:t>
      </w:r>
    </w:p>
    <w:p w:rsidR="00D30F81" w:rsidRPr="00427CA7" w:rsidRDefault="00D30F81" w:rsidP="004D2808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природный газ – 0,35 куб. метров на 1 человека населения (0,36 куб. метров в 2015 году).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В 2016 г</w:t>
      </w:r>
      <w:r w:rsidR="00661174">
        <w:rPr>
          <w:szCs w:val="28"/>
        </w:rPr>
        <w:t>оду</w:t>
      </w:r>
      <w:r w:rsidRPr="00D30F81">
        <w:rPr>
          <w:szCs w:val="28"/>
        </w:rPr>
        <w:t xml:space="preserve"> по сравнению с 2015 г</w:t>
      </w:r>
      <w:r w:rsidR="00661174">
        <w:rPr>
          <w:szCs w:val="28"/>
        </w:rPr>
        <w:t xml:space="preserve">одом </w:t>
      </w:r>
      <w:r w:rsidRPr="00D30F81">
        <w:rPr>
          <w:szCs w:val="28"/>
        </w:rPr>
        <w:t>можно пронаблюдать снижение удельных величин потребления электрической энергии, холодной воды и природного газа муниципальными бюджетными учреждениями. Это обусловлено проведением мероприятий по энергосбережению в соответствии с Федеральным  Законом от 23.11.2009 г.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 xml:space="preserve">Удельные величины потребления тепловой энергии и горячей воды в 2016 году остались на прежнем уровне. 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В 2017-2019 гг. удельные величины потребления электрической энергии, горячей воды, холодной воды и природного газа будут снижаться в связи с поэтапной реализацией муниципальной программы муниципального образования «Город Астрахань» «Энергосбережение и повышение энергетической эффективности в городе Астрахани». Несмотря на рост общей площади муниципальных бюджетных учреждений, удельная величина потребления тепловой энергии в планируемом периоде останется на прежнем уровне.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Реализация программы до 2020 г</w:t>
      </w:r>
      <w:r w:rsidR="00427CA7">
        <w:rPr>
          <w:szCs w:val="28"/>
        </w:rPr>
        <w:t>ода</w:t>
      </w:r>
      <w:r w:rsidRPr="00D30F81">
        <w:rPr>
          <w:szCs w:val="28"/>
        </w:rPr>
        <w:t xml:space="preserve"> позволит получить следующие результаты:</w:t>
      </w:r>
    </w:p>
    <w:p w:rsidR="00D30F81" w:rsidRPr="00427CA7" w:rsidRDefault="00D30F81" w:rsidP="004D280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экономию всех видов энергоресурсов при производстве, распределении и потреблении энергии;</w:t>
      </w:r>
    </w:p>
    <w:p w:rsidR="00D30F81" w:rsidRPr="00427CA7" w:rsidRDefault="00D30F81" w:rsidP="004D280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увеличение доли объема энергоресурсов, расчеты за которые осуществляются с использованием приборов учета, в общем объеме энергоресурсов, потребляемых на территории города.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>В конечном итоге исполнение программы позволит системно решать накопившиеся проблемы и выйти на заданные параметры:</w:t>
      </w:r>
    </w:p>
    <w:p w:rsidR="00D30F81" w:rsidRPr="00427CA7" w:rsidRDefault="00D30F81" w:rsidP="004D280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ежегодное сокращение удельных показателей энергопотребления жилищного сектора;</w:t>
      </w:r>
    </w:p>
    <w:p w:rsidR="00D30F81" w:rsidRPr="00427CA7" w:rsidRDefault="00D30F81" w:rsidP="004D280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 xml:space="preserve">полный переход на приборный учет энергоресурсов в многоквартирных домах и в организациях муниципальной бюджетной сферы.  </w:t>
      </w:r>
    </w:p>
    <w:p w:rsidR="00D30F81" w:rsidRPr="00D30F81" w:rsidRDefault="00D30F81" w:rsidP="004D2808">
      <w:pPr>
        <w:ind w:firstLine="709"/>
        <w:jc w:val="both"/>
        <w:rPr>
          <w:szCs w:val="28"/>
        </w:rPr>
      </w:pPr>
      <w:r w:rsidRPr="00D30F81">
        <w:rPr>
          <w:szCs w:val="28"/>
        </w:rPr>
        <w:t xml:space="preserve">В результате удельные величины  потребления энергетических ресурсов муниципальными бюджетными учреждениями в 2019 году снизятся </w:t>
      </w:r>
      <w:proofErr w:type="gramStart"/>
      <w:r w:rsidRPr="00D30F81">
        <w:rPr>
          <w:szCs w:val="28"/>
        </w:rPr>
        <w:t>до</w:t>
      </w:r>
      <w:proofErr w:type="gramEnd"/>
      <w:r w:rsidRPr="00D30F81">
        <w:rPr>
          <w:szCs w:val="28"/>
        </w:rPr>
        <w:t xml:space="preserve">: </w:t>
      </w:r>
    </w:p>
    <w:p w:rsidR="00D30F81" w:rsidRPr="00427CA7" w:rsidRDefault="00D30F81" w:rsidP="004D280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электрической энергии – 20,53 кВт час на 1 человека населения;</w:t>
      </w:r>
    </w:p>
    <w:p w:rsidR="00D30F81" w:rsidRPr="00427CA7" w:rsidRDefault="00D30F81" w:rsidP="004D280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тепловой энергии – 0,06 Гкал на 1 кв. метр общей площади;</w:t>
      </w:r>
    </w:p>
    <w:p w:rsidR="00D30F81" w:rsidRPr="00427CA7" w:rsidRDefault="00D30F81" w:rsidP="004D280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горячей воды – 0,17 куб. метров на 1 человека населения;</w:t>
      </w:r>
    </w:p>
    <w:p w:rsidR="00D30F81" w:rsidRPr="00427CA7" w:rsidRDefault="00D30F81" w:rsidP="004D280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7CA7">
        <w:rPr>
          <w:szCs w:val="28"/>
        </w:rPr>
        <w:t>холодной воды  – 1,48 куб. метров на 1 человека населения;</w:t>
      </w:r>
    </w:p>
    <w:p w:rsidR="007B65B3" w:rsidRPr="00427CA7" w:rsidRDefault="00D30F81" w:rsidP="004D280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27CA7">
        <w:rPr>
          <w:szCs w:val="28"/>
        </w:rPr>
        <w:t>природного газа – 0,32 куб. метров на 1 человека населения.</w:t>
      </w:r>
    </w:p>
    <w:p w:rsidR="008A6EA5" w:rsidRPr="00C27E09" w:rsidRDefault="008A6EA5" w:rsidP="007B65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8A6EA5" w:rsidRPr="00C27E09" w:rsidSect="00514C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BE" w:rsidRDefault="00182EBE" w:rsidP="001170AE">
      <w:r>
        <w:separator/>
      </w:r>
    </w:p>
  </w:endnote>
  <w:endnote w:type="continuationSeparator" w:id="0">
    <w:p w:rsidR="00182EBE" w:rsidRDefault="00182EBE" w:rsidP="001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02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C0" w:rsidRPr="004D2808" w:rsidRDefault="00AC0BC0">
        <w:pPr>
          <w:pStyle w:val="a6"/>
          <w:jc w:val="center"/>
          <w:rPr>
            <w:sz w:val="20"/>
            <w:szCs w:val="20"/>
          </w:rPr>
        </w:pPr>
        <w:r w:rsidRPr="004D2808">
          <w:rPr>
            <w:sz w:val="20"/>
            <w:szCs w:val="20"/>
          </w:rPr>
          <w:fldChar w:fldCharType="begin"/>
        </w:r>
        <w:r w:rsidRPr="004D2808">
          <w:rPr>
            <w:sz w:val="20"/>
            <w:szCs w:val="20"/>
          </w:rPr>
          <w:instrText>PAGE   \* MERGEFORMAT</w:instrText>
        </w:r>
        <w:r w:rsidRPr="004D2808">
          <w:rPr>
            <w:sz w:val="20"/>
            <w:szCs w:val="20"/>
          </w:rPr>
          <w:fldChar w:fldCharType="separate"/>
        </w:r>
        <w:r w:rsidR="002843D3">
          <w:rPr>
            <w:noProof/>
            <w:sz w:val="20"/>
            <w:szCs w:val="20"/>
          </w:rPr>
          <w:t>30</w:t>
        </w:r>
        <w:r w:rsidRPr="004D2808">
          <w:rPr>
            <w:sz w:val="20"/>
            <w:szCs w:val="20"/>
          </w:rPr>
          <w:fldChar w:fldCharType="end"/>
        </w:r>
      </w:p>
    </w:sdtContent>
  </w:sdt>
  <w:p w:rsidR="00AC0BC0" w:rsidRDefault="00AC0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BE" w:rsidRDefault="00182EBE" w:rsidP="001170AE">
      <w:r>
        <w:separator/>
      </w:r>
    </w:p>
  </w:footnote>
  <w:footnote w:type="continuationSeparator" w:id="0">
    <w:p w:rsidR="00182EBE" w:rsidRDefault="00182EBE" w:rsidP="0011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AF686B"/>
    <w:multiLevelType w:val="hybridMultilevel"/>
    <w:tmpl w:val="3644213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569ED"/>
    <w:multiLevelType w:val="hybridMultilevel"/>
    <w:tmpl w:val="DE68DB5E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4F87"/>
    <w:multiLevelType w:val="hybridMultilevel"/>
    <w:tmpl w:val="4E7A03B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90251"/>
    <w:multiLevelType w:val="hybridMultilevel"/>
    <w:tmpl w:val="3B28D61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758A3"/>
    <w:multiLevelType w:val="hybridMultilevel"/>
    <w:tmpl w:val="35C08E22"/>
    <w:lvl w:ilvl="0" w:tplc="527A9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C1430"/>
    <w:multiLevelType w:val="hybridMultilevel"/>
    <w:tmpl w:val="8DE62CF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16ED1"/>
    <w:multiLevelType w:val="hybridMultilevel"/>
    <w:tmpl w:val="2BAE181C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E0CA7"/>
    <w:multiLevelType w:val="hybridMultilevel"/>
    <w:tmpl w:val="50C89230"/>
    <w:lvl w:ilvl="0" w:tplc="55A64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CC7594C"/>
    <w:multiLevelType w:val="hybridMultilevel"/>
    <w:tmpl w:val="0790840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B7D8A"/>
    <w:multiLevelType w:val="hybridMultilevel"/>
    <w:tmpl w:val="E1FC1E2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A500C"/>
    <w:multiLevelType w:val="hybridMultilevel"/>
    <w:tmpl w:val="47143418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A26B9"/>
    <w:multiLevelType w:val="hybridMultilevel"/>
    <w:tmpl w:val="8A9043D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FBC"/>
    <w:multiLevelType w:val="hybridMultilevel"/>
    <w:tmpl w:val="32F06B7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7282B"/>
    <w:multiLevelType w:val="hybridMultilevel"/>
    <w:tmpl w:val="8324825A"/>
    <w:lvl w:ilvl="0" w:tplc="55A64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E56149"/>
    <w:multiLevelType w:val="hybridMultilevel"/>
    <w:tmpl w:val="E872FDD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2542B"/>
    <w:multiLevelType w:val="hybridMultilevel"/>
    <w:tmpl w:val="5A4CA618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4703"/>
    <w:multiLevelType w:val="hybridMultilevel"/>
    <w:tmpl w:val="DA1602A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D74EC"/>
    <w:multiLevelType w:val="hybridMultilevel"/>
    <w:tmpl w:val="901E6CFE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72D1F"/>
    <w:multiLevelType w:val="hybridMultilevel"/>
    <w:tmpl w:val="01545D44"/>
    <w:lvl w:ilvl="0" w:tplc="6B14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52A37"/>
    <w:multiLevelType w:val="hybridMultilevel"/>
    <w:tmpl w:val="531AA092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59B8"/>
    <w:multiLevelType w:val="hybridMultilevel"/>
    <w:tmpl w:val="2A72DFB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F53AC"/>
    <w:multiLevelType w:val="hybridMultilevel"/>
    <w:tmpl w:val="61C4193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E2EC8"/>
    <w:multiLevelType w:val="hybridMultilevel"/>
    <w:tmpl w:val="B3AE9694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93695"/>
    <w:multiLevelType w:val="hybridMultilevel"/>
    <w:tmpl w:val="56B03A30"/>
    <w:lvl w:ilvl="0" w:tplc="39EC6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D10864"/>
    <w:multiLevelType w:val="hybridMultilevel"/>
    <w:tmpl w:val="0EC60E08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E0A2C"/>
    <w:multiLevelType w:val="hybridMultilevel"/>
    <w:tmpl w:val="C4683EDE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B5806"/>
    <w:multiLevelType w:val="hybridMultilevel"/>
    <w:tmpl w:val="42FC185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114E0"/>
    <w:multiLevelType w:val="hybridMultilevel"/>
    <w:tmpl w:val="0F987A4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8"/>
  </w:num>
  <w:num w:numId="5">
    <w:abstractNumId w:val="21"/>
  </w:num>
  <w:num w:numId="6">
    <w:abstractNumId w:val="5"/>
  </w:num>
  <w:num w:numId="7">
    <w:abstractNumId w:val="22"/>
  </w:num>
  <w:num w:numId="8">
    <w:abstractNumId w:val="15"/>
  </w:num>
  <w:num w:numId="9">
    <w:abstractNumId w:val="26"/>
  </w:num>
  <w:num w:numId="10">
    <w:abstractNumId w:val="3"/>
  </w:num>
  <w:num w:numId="11">
    <w:abstractNumId w:val="24"/>
  </w:num>
  <w:num w:numId="12">
    <w:abstractNumId w:val="7"/>
  </w:num>
  <w:num w:numId="13">
    <w:abstractNumId w:val="29"/>
  </w:num>
  <w:num w:numId="14">
    <w:abstractNumId w:val="14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2"/>
  </w:num>
  <w:num w:numId="20">
    <w:abstractNumId w:val="13"/>
  </w:num>
  <w:num w:numId="21">
    <w:abstractNumId w:val="28"/>
  </w:num>
  <w:num w:numId="22">
    <w:abstractNumId w:val="6"/>
  </w:num>
  <w:num w:numId="23">
    <w:abstractNumId w:val="4"/>
  </w:num>
  <w:num w:numId="24">
    <w:abstractNumId w:val="19"/>
  </w:num>
  <w:num w:numId="25">
    <w:abstractNumId w:val="16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E"/>
    <w:rsid w:val="00003997"/>
    <w:rsid w:val="00004EB3"/>
    <w:rsid w:val="000119AF"/>
    <w:rsid w:val="000126E8"/>
    <w:rsid w:val="00012FC7"/>
    <w:rsid w:val="00020941"/>
    <w:rsid w:val="000252BD"/>
    <w:rsid w:val="000377AB"/>
    <w:rsid w:val="00041DC0"/>
    <w:rsid w:val="0006261E"/>
    <w:rsid w:val="0006303C"/>
    <w:rsid w:val="00070047"/>
    <w:rsid w:val="00070111"/>
    <w:rsid w:val="0007417C"/>
    <w:rsid w:val="00075AA3"/>
    <w:rsid w:val="00077061"/>
    <w:rsid w:val="000913F0"/>
    <w:rsid w:val="000A484F"/>
    <w:rsid w:val="000B2C34"/>
    <w:rsid w:val="000B2EE0"/>
    <w:rsid w:val="000B5DD3"/>
    <w:rsid w:val="000B77ED"/>
    <w:rsid w:val="000C4854"/>
    <w:rsid w:val="000D2FA9"/>
    <w:rsid w:val="000E30E7"/>
    <w:rsid w:val="000F485F"/>
    <w:rsid w:val="000F71BE"/>
    <w:rsid w:val="00110B3A"/>
    <w:rsid w:val="00110C5D"/>
    <w:rsid w:val="00115C4C"/>
    <w:rsid w:val="001170AE"/>
    <w:rsid w:val="001312E0"/>
    <w:rsid w:val="0013281B"/>
    <w:rsid w:val="00133D85"/>
    <w:rsid w:val="00136AC6"/>
    <w:rsid w:val="00141FAA"/>
    <w:rsid w:val="001517BD"/>
    <w:rsid w:val="00157570"/>
    <w:rsid w:val="001577AB"/>
    <w:rsid w:val="0016487F"/>
    <w:rsid w:val="001803C6"/>
    <w:rsid w:val="00182EBE"/>
    <w:rsid w:val="00183EEC"/>
    <w:rsid w:val="001900F7"/>
    <w:rsid w:val="00193C9E"/>
    <w:rsid w:val="001A056A"/>
    <w:rsid w:val="001A2FB1"/>
    <w:rsid w:val="001B5900"/>
    <w:rsid w:val="001B7BAE"/>
    <w:rsid w:val="001C7352"/>
    <w:rsid w:val="001E73D3"/>
    <w:rsid w:val="001F4D83"/>
    <w:rsid w:val="0020040D"/>
    <w:rsid w:val="0020572F"/>
    <w:rsid w:val="00206420"/>
    <w:rsid w:val="00214AE5"/>
    <w:rsid w:val="00216671"/>
    <w:rsid w:val="00222FC2"/>
    <w:rsid w:val="002276F3"/>
    <w:rsid w:val="00231EE9"/>
    <w:rsid w:val="00235517"/>
    <w:rsid w:val="002421B8"/>
    <w:rsid w:val="002543EE"/>
    <w:rsid w:val="002563CA"/>
    <w:rsid w:val="00261156"/>
    <w:rsid w:val="002642B6"/>
    <w:rsid w:val="00265A4E"/>
    <w:rsid w:val="00267F57"/>
    <w:rsid w:val="002713F1"/>
    <w:rsid w:val="00276789"/>
    <w:rsid w:val="0028386E"/>
    <w:rsid w:val="002843D3"/>
    <w:rsid w:val="002864BA"/>
    <w:rsid w:val="00292345"/>
    <w:rsid w:val="0029548C"/>
    <w:rsid w:val="002A277F"/>
    <w:rsid w:val="002A298A"/>
    <w:rsid w:val="002A6CA3"/>
    <w:rsid w:val="002B3851"/>
    <w:rsid w:val="002B48BE"/>
    <w:rsid w:val="002C4722"/>
    <w:rsid w:val="002D0EA3"/>
    <w:rsid w:val="002E1641"/>
    <w:rsid w:val="002E28A0"/>
    <w:rsid w:val="002E4A56"/>
    <w:rsid w:val="002F2607"/>
    <w:rsid w:val="002F28E6"/>
    <w:rsid w:val="002F3A28"/>
    <w:rsid w:val="002F4563"/>
    <w:rsid w:val="002F7767"/>
    <w:rsid w:val="00312435"/>
    <w:rsid w:val="00336889"/>
    <w:rsid w:val="0034068D"/>
    <w:rsid w:val="00357F16"/>
    <w:rsid w:val="00364F23"/>
    <w:rsid w:val="00367667"/>
    <w:rsid w:val="0037151F"/>
    <w:rsid w:val="0037630B"/>
    <w:rsid w:val="00383FD9"/>
    <w:rsid w:val="003850B5"/>
    <w:rsid w:val="00392B39"/>
    <w:rsid w:val="00393AB3"/>
    <w:rsid w:val="003964DC"/>
    <w:rsid w:val="003A3F25"/>
    <w:rsid w:val="003A71E3"/>
    <w:rsid w:val="003C096D"/>
    <w:rsid w:val="003C23F9"/>
    <w:rsid w:val="003C4F44"/>
    <w:rsid w:val="003D44E0"/>
    <w:rsid w:val="003D4C04"/>
    <w:rsid w:val="003D6C1C"/>
    <w:rsid w:val="003E73A1"/>
    <w:rsid w:val="003F27ED"/>
    <w:rsid w:val="003F32E0"/>
    <w:rsid w:val="003F6643"/>
    <w:rsid w:val="0040450D"/>
    <w:rsid w:val="00404EA1"/>
    <w:rsid w:val="004066A2"/>
    <w:rsid w:val="00413B38"/>
    <w:rsid w:val="00414747"/>
    <w:rsid w:val="00415B0F"/>
    <w:rsid w:val="00420890"/>
    <w:rsid w:val="0042357F"/>
    <w:rsid w:val="00426017"/>
    <w:rsid w:val="00427CA7"/>
    <w:rsid w:val="00431324"/>
    <w:rsid w:val="004355A3"/>
    <w:rsid w:val="004535FC"/>
    <w:rsid w:val="0045779F"/>
    <w:rsid w:val="00460A84"/>
    <w:rsid w:val="00464847"/>
    <w:rsid w:val="00467102"/>
    <w:rsid w:val="004676D0"/>
    <w:rsid w:val="00470717"/>
    <w:rsid w:val="00473933"/>
    <w:rsid w:val="004A1A7D"/>
    <w:rsid w:val="004A26BA"/>
    <w:rsid w:val="004B02CD"/>
    <w:rsid w:val="004B2872"/>
    <w:rsid w:val="004D2808"/>
    <w:rsid w:val="004D4DC0"/>
    <w:rsid w:val="004D7EC0"/>
    <w:rsid w:val="004E267E"/>
    <w:rsid w:val="004E46AD"/>
    <w:rsid w:val="004F2303"/>
    <w:rsid w:val="004F34B6"/>
    <w:rsid w:val="004F4BCB"/>
    <w:rsid w:val="00502FD2"/>
    <w:rsid w:val="00513AE2"/>
    <w:rsid w:val="00514CAF"/>
    <w:rsid w:val="00515C51"/>
    <w:rsid w:val="00515E27"/>
    <w:rsid w:val="00524189"/>
    <w:rsid w:val="00531D00"/>
    <w:rsid w:val="00536518"/>
    <w:rsid w:val="00547012"/>
    <w:rsid w:val="005618A3"/>
    <w:rsid w:val="00562F2F"/>
    <w:rsid w:val="005635A3"/>
    <w:rsid w:val="00584155"/>
    <w:rsid w:val="00590000"/>
    <w:rsid w:val="00595114"/>
    <w:rsid w:val="00595722"/>
    <w:rsid w:val="005A1AB9"/>
    <w:rsid w:val="005A41A8"/>
    <w:rsid w:val="005A5AC5"/>
    <w:rsid w:val="005B35E4"/>
    <w:rsid w:val="005C0C24"/>
    <w:rsid w:val="005C160B"/>
    <w:rsid w:val="005C493C"/>
    <w:rsid w:val="005D5923"/>
    <w:rsid w:val="00602623"/>
    <w:rsid w:val="00605BF7"/>
    <w:rsid w:val="00624836"/>
    <w:rsid w:val="00637280"/>
    <w:rsid w:val="00637FB4"/>
    <w:rsid w:val="00654D1D"/>
    <w:rsid w:val="00661174"/>
    <w:rsid w:val="0066757D"/>
    <w:rsid w:val="0068140A"/>
    <w:rsid w:val="00681E0E"/>
    <w:rsid w:val="0068661D"/>
    <w:rsid w:val="00686AC6"/>
    <w:rsid w:val="00687A68"/>
    <w:rsid w:val="00692187"/>
    <w:rsid w:val="006A15D9"/>
    <w:rsid w:val="006A7E3E"/>
    <w:rsid w:val="006B1D97"/>
    <w:rsid w:val="006B2C5D"/>
    <w:rsid w:val="006B5655"/>
    <w:rsid w:val="006C1A03"/>
    <w:rsid w:val="006C2BCC"/>
    <w:rsid w:val="006C3D76"/>
    <w:rsid w:val="006C755A"/>
    <w:rsid w:val="006D427D"/>
    <w:rsid w:val="006E189D"/>
    <w:rsid w:val="006E25DA"/>
    <w:rsid w:val="006E3299"/>
    <w:rsid w:val="006E67D6"/>
    <w:rsid w:val="00701BBF"/>
    <w:rsid w:val="00702FAC"/>
    <w:rsid w:val="007032A3"/>
    <w:rsid w:val="0070690B"/>
    <w:rsid w:val="00707AAE"/>
    <w:rsid w:val="00732E10"/>
    <w:rsid w:val="00733FAB"/>
    <w:rsid w:val="00741976"/>
    <w:rsid w:val="0074584E"/>
    <w:rsid w:val="00750066"/>
    <w:rsid w:val="0075454A"/>
    <w:rsid w:val="00757E16"/>
    <w:rsid w:val="00766E42"/>
    <w:rsid w:val="0077200D"/>
    <w:rsid w:val="00773298"/>
    <w:rsid w:val="0078558E"/>
    <w:rsid w:val="007941F3"/>
    <w:rsid w:val="00796A84"/>
    <w:rsid w:val="007A1B52"/>
    <w:rsid w:val="007B0E1B"/>
    <w:rsid w:val="007B492D"/>
    <w:rsid w:val="007B65B3"/>
    <w:rsid w:val="007B6932"/>
    <w:rsid w:val="007C6443"/>
    <w:rsid w:val="007D1CF4"/>
    <w:rsid w:val="007D60E9"/>
    <w:rsid w:val="007E7121"/>
    <w:rsid w:val="007F075A"/>
    <w:rsid w:val="007F4EF7"/>
    <w:rsid w:val="00813801"/>
    <w:rsid w:val="00813867"/>
    <w:rsid w:val="00825EBA"/>
    <w:rsid w:val="00827D44"/>
    <w:rsid w:val="0084092E"/>
    <w:rsid w:val="008461ED"/>
    <w:rsid w:val="0086782B"/>
    <w:rsid w:val="0088636D"/>
    <w:rsid w:val="00893248"/>
    <w:rsid w:val="008948E1"/>
    <w:rsid w:val="008A6EA5"/>
    <w:rsid w:val="008B6660"/>
    <w:rsid w:val="008C27E5"/>
    <w:rsid w:val="008D1662"/>
    <w:rsid w:val="008D3314"/>
    <w:rsid w:val="008E0AD4"/>
    <w:rsid w:val="008E3490"/>
    <w:rsid w:val="008E41A7"/>
    <w:rsid w:val="008E4C43"/>
    <w:rsid w:val="008E69D8"/>
    <w:rsid w:val="008F7C6A"/>
    <w:rsid w:val="0090103D"/>
    <w:rsid w:val="00902912"/>
    <w:rsid w:val="00903B7B"/>
    <w:rsid w:val="00937C66"/>
    <w:rsid w:val="00940C1A"/>
    <w:rsid w:val="0094554A"/>
    <w:rsid w:val="009515AE"/>
    <w:rsid w:val="00951DAA"/>
    <w:rsid w:val="00955EEC"/>
    <w:rsid w:val="00965B16"/>
    <w:rsid w:val="0097039B"/>
    <w:rsid w:val="00991571"/>
    <w:rsid w:val="0099198E"/>
    <w:rsid w:val="009A08E1"/>
    <w:rsid w:val="009B03DF"/>
    <w:rsid w:val="009B03EB"/>
    <w:rsid w:val="009B34E8"/>
    <w:rsid w:val="009D4F10"/>
    <w:rsid w:val="009E23D4"/>
    <w:rsid w:val="009F1E48"/>
    <w:rsid w:val="00A13B5F"/>
    <w:rsid w:val="00A1413B"/>
    <w:rsid w:val="00A25B49"/>
    <w:rsid w:val="00A264F1"/>
    <w:rsid w:val="00A344E1"/>
    <w:rsid w:val="00A408E7"/>
    <w:rsid w:val="00A43546"/>
    <w:rsid w:val="00A43D90"/>
    <w:rsid w:val="00A54F73"/>
    <w:rsid w:val="00A560D5"/>
    <w:rsid w:val="00A56267"/>
    <w:rsid w:val="00A67189"/>
    <w:rsid w:val="00A7096F"/>
    <w:rsid w:val="00A85899"/>
    <w:rsid w:val="00A92E5F"/>
    <w:rsid w:val="00AB287A"/>
    <w:rsid w:val="00AB6A44"/>
    <w:rsid w:val="00AC0BC0"/>
    <w:rsid w:val="00AC3792"/>
    <w:rsid w:val="00AC7F4E"/>
    <w:rsid w:val="00AE1341"/>
    <w:rsid w:val="00AE207B"/>
    <w:rsid w:val="00AE5CFF"/>
    <w:rsid w:val="00AF7514"/>
    <w:rsid w:val="00B02208"/>
    <w:rsid w:val="00B1173F"/>
    <w:rsid w:val="00B23E8C"/>
    <w:rsid w:val="00B4462B"/>
    <w:rsid w:val="00B54E4E"/>
    <w:rsid w:val="00B5509F"/>
    <w:rsid w:val="00B574E1"/>
    <w:rsid w:val="00B732DF"/>
    <w:rsid w:val="00B76D6F"/>
    <w:rsid w:val="00B84544"/>
    <w:rsid w:val="00B84CE3"/>
    <w:rsid w:val="00B9195C"/>
    <w:rsid w:val="00B9336E"/>
    <w:rsid w:val="00BA4E69"/>
    <w:rsid w:val="00BA5F99"/>
    <w:rsid w:val="00BA77AE"/>
    <w:rsid w:val="00BB29DB"/>
    <w:rsid w:val="00BB3619"/>
    <w:rsid w:val="00BC13F3"/>
    <w:rsid w:val="00BC2331"/>
    <w:rsid w:val="00BC27CC"/>
    <w:rsid w:val="00BD0616"/>
    <w:rsid w:val="00BD250A"/>
    <w:rsid w:val="00BE1AB3"/>
    <w:rsid w:val="00BE54EC"/>
    <w:rsid w:val="00BE7F57"/>
    <w:rsid w:val="00C05BFF"/>
    <w:rsid w:val="00C13E7E"/>
    <w:rsid w:val="00C156B1"/>
    <w:rsid w:val="00C16027"/>
    <w:rsid w:val="00C2110F"/>
    <w:rsid w:val="00C27E09"/>
    <w:rsid w:val="00C3693D"/>
    <w:rsid w:val="00C374B1"/>
    <w:rsid w:val="00C610CA"/>
    <w:rsid w:val="00C7382D"/>
    <w:rsid w:val="00C771BB"/>
    <w:rsid w:val="00C82655"/>
    <w:rsid w:val="00C9301C"/>
    <w:rsid w:val="00C97EE1"/>
    <w:rsid w:val="00CA2AE0"/>
    <w:rsid w:val="00CB26BE"/>
    <w:rsid w:val="00CB7982"/>
    <w:rsid w:val="00CB79F3"/>
    <w:rsid w:val="00CF2D7F"/>
    <w:rsid w:val="00CF6364"/>
    <w:rsid w:val="00CF63CD"/>
    <w:rsid w:val="00CF7729"/>
    <w:rsid w:val="00D003AE"/>
    <w:rsid w:val="00D051A0"/>
    <w:rsid w:val="00D0604A"/>
    <w:rsid w:val="00D06B7D"/>
    <w:rsid w:val="00D229D3"/>
    <w:rsid w:val="00D24ACE"/>
    <w:rsid w:val="00D30F81"/>
    <w:rsid w:val="00D440BB"/>
    <w:rsid w:val="00D51C2F"/>
    <w:rsid w:val="00D718C9"/>
    <w:rsid w:val="00D7262F"/>
    <w:rsid w:val="00D837EB"/>
    <w:rsid w:val="00D84FEB"/>
    <w:rsid w:val="00DA24B1"/>
    <w:rsid w:val="00DB0095"/>
    <w:rsid w:val="00DB3185"/>
    <w:rsid w:val="00DC79AC"/>
    <w:rsid w:val="00DD7E62"/>
    <w:rsid w:val="00DF2BDC"/>
    <w:rsid w:val="00E0663F"/>
    <w:rsid w:val="00E069F8"/>
    <w:rsid w:val="00E10D91"/>
    <w:rsid w:val="00E177C2"/>
    <w:rsid w:val="00E262F5"/>
    <w:rsid w:val="00E30DEB"/>
    <w:rsid w:val="00E365F6"/>
    <w:rsid w:val="00E46770"/>
    <w:rsid w:val="00E633AE"/>
    <w:rsid w:val="00E728B6"/>
    <w:rsid w:val="00E81294"/>
    <w:rsid w:val="00E824F2"/>
    <w:rsid w:val="00E84F11"/>
    <w:rsid w:val="00EA171F"/>
    <w:rsid w:val="00EA61C0"/>
    <w:rsid w:val="00EB414E"/>
    <w:rsid w:val="00EC1299"/>
    <w:rsid w:val="00EC20FC"/>
    <w:rsid w:val="00EC61C2"/>
    <w:rsid w:val="00ED4C98"/>
    <w:rsid w:val="00ED5959"/>
    <w:rsid w:val="00EE159A"/>
    <w:rsid w:val="00EE2A66"/>
    <w:rsid w:val="00EE5474"/>
    <w:rsid w:val="00EF30AD"/>
    <w:rsid w:val="00EF3EED"/>
    <w:rsid w:val="00EF48CD"/>
    <w:rsid w:val="00EF6509"/>
    <w:rsid w:val="00F06745"/>
    <w:rsid w:val="00F06C51"/>
    <w:rsid w:val="00F130D0"/>
    <w:rsid w:val="00F13906"/>
    <w:rsid w:val="00F16D6C"/>
    <w:rsid w:val="00F200DC"/>
    <w:rsid w:val="00F34E3A"/>
    <w:rsid w:val="00F34EBB"/>
    <w:rsid w:val="00F40378"/>
    <w:rsid w:val="00F41FC1"/>
    <w:rsid w:val="00F43F26"/>
    <w:rsid w:val="00F45565"/>
    <w:rsid w:val="00F51EF8"/>
    <w:rsid w:val="00F66338"/>
    <w:rsid w:val="00F6706F"/>
    <w:rsid w:val="00F7577E"/>
    <w:rsid w:val="00F82821"/>
    <w:rsid w:val="00F82BB2"/>
    <w:rsid w:val="00F843C5"/>
    <w:rsid w:val="00F869BA"/>
    <w:rsid w:val="00F87D3F"/>
    <w:rsid w:val="00F9037B"/>
    <w:rsid w:val="00FA0279"/>
    <w:rsid w:val="00FA058F"/>
    <w:rsid w:val="00FA5E2F"/>
    <w:rsid w:val="00FA7A52"/>
    <w:rsid w:val="00FA7C25"/>
    <w:rsid w:val="00FB12D1"/>
    <w:rsid w:val="00FB2425"/>
    <w:rsid w:val="00FB2575"/>
    <w:rsid w:val="00FB51E8"/>
    <w:rsid w:val="00FB54CD"/>
    <w:rsid w:val="00FB6E0F"/>
    <w:rsid w:val="00FC7F80"/>
    <w:rsid w:val="00FD3E02"/>
    <w:rsid w:val="00FE2703"/>
    <w:rsid w:val="00FE32B1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D894-C1D9-461F-A61B-092ADF1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47</Pages>
  <Words>17040</Words>
  <Characters>97134</Characters>
  <Application>Microsoft Office Word</Application>
  <DocSecurity>0</DocSecurity>
  <Lines>809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User_123</dc:creator>
  <cp:lastModifiedBy>Ихсанова Раушан Наурзагалиевна</cp:lastModifiedBy>
  <cp:revision>256</cp:revision>
  <cp:lastPrinted>2017-06-07T06:11:00Z</cp:lastPrinted>
  <dcterms:created xsi:type="dcterms:W3CDTF">2015-04-20T09:31:00Z</dcterms:created>
  <dcterms:modified xsi:type="dcterms:W3CDTF">2017-06-07T06:11:00Z</dcterms:modified>
</cp:coreProperties>
</file>