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0F" w:rsidRDefault="00FD52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520F" w:rsidRDefault="00FD520F">
      <w:pPr>
        <w:pStyle w:val="ConsPlusNormal"/>
        <w:jc w:val="center"/>
        <w:outlineLvl w:val="0"/>
      </w:pPr>
    </w:p>
    <w:p w:rsidR="00FD520F" w:rsidRDefault="00FD520F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FD520F" w:rsidRDefault="00FD520F">
      <w:pPr>
        <w:pStyle w:val="ConsPlusTitle"/>
        <w:jc w:val="center"/>
      </w:pPr>
    </w:p>
    <w:p w:rsidR="00FD520F" w:rsidRDefault="00FD520F">
      <w:pPr>
        <w:pStyle w:val="ConsPlusTitle"/>
        <w:jc w:val="center"/>
      </w:pPr>
      <w:r>
        <w:t>ПОСТАНОВЛЕНИЕ</w:t>
      </w:r>
    </w:p>
    <w:p w:rsidR="00FD520F" w:rsidRDefault="00FD520F">
      <w:pPr>
        <w:pStyle w:val="ConsPlusTitle"/>
        <w:jc w:val="center"/>
      </w:pPr>
      <w:r>
        <w:t>от 2 июня 2015 г. N 3441</w:t>
      </w:r>
    </w:p>
    <w:p w:rsidR="00FD520F" w:rsidRDefault="00FD520F">
      <w:pPr>
        <w:pStyle w:val="ConsPlusTitle"/>
        <w:jc w:val="center"/>
      </w:pPr>
    </w:p>
    <w:p w:rsidR="00FD520F" w:rsidRDefault="00FD520F">
      <w:pPr>
        <w:pStyle w:val="ConsPlusTitle"/>
        <w:jc w:val="center"/>
      </w:pPr>
      <w:r>
        <w:t>О БЕЗНАЛИЧНОЙ ОПЛАТЕ И УЧЕТУ ПРОЕЗДА ПАССАЖИРОВ И БАГАЖА</w:t>
      </w:r>
    </w:p>
    <w:p w:rsidR="00FD520F" w:rsidRDefault="00FD520F">
      <w:pPr>
        <w:pStyle w:val="ConsPlusTitle"/>
        <w:jc w:val="center"/>
      </w:pPr>
      <w:r>
        <w:t>АВТОМОБИЛЬНЫМ ТРАНСПОРТОМ ПО МАРШРУТАМ МУНИЦИПАЛЬНОГО</w:t>
      </w:r>
    </w:p>
    <w:p w:rsidR="00FD520F" w:rsidRDefault="00FD520F">
      <w:pPr>
        <w:pStyle w:val="ConsPlusTitle"/>
        <w:jc w:val="center"/>
      </w:pPr>
      <w:r>
        <w:t>СООБЩЕНИЯ В ГОРОДЕ АСТРАХАНИ, В ТОМ ЧИСЛЕ С ИСПОЛЬЗОВАНИЕМ</w:t>
      </w:r>
    </w:p>
    <w:p w:rsidR="00FD520F" w:rsidRDefault="00FD520F">
      <w:pPr>
        <w:pStyle w:val="ConsPlusTitle"/>
        <w:jc w:val="center"/>
      </w:pPr>
      <w:r>
        <w:t>УНИВЕРСАЛЬНОЙ ЭЛЕКТРОННОЙ КАРТЫ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6" w:history="1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"</w:t>
      </w:r>
      <w:hyperlink r:id="rId7" w:history="1">
        <w:r>
          <w:rPr>
            <w:color w:val="0000FF"/>
          </w:rPr>
          <w:t>Об организации предоставления</w:t>
        </w:r>
      </w:hyperlink>
      <w:r>
        <w:t xml:space="preserve"> государственных и муниципальных услуг", </w:t>
      </w:r>
      <w:hyperlink r:id="rId8" w:history="1">
        <w:r>
          <w:rPr>
            <w:color w:val="0000FF"/>
          </w:rPr>
          <w:t>Законом</w:t>
        </w:r>
      </w:hyperlink>
      <w:r>
        <w:t xml:space="preserve"> Астраханской области "Об универсальной электронной карте", в целях улучшения транспортного обслуживания населения по маршрутам муниципального сообщения в муниципальном образовании "Город Астрахань" постановляю: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1. Рекомендовать юридическим лицам и индивидуальным предпринимателям, осуществляющим регулярные перевозки пассажиров и багажа автомобильным транспортом по муниципальным маршрутам города Астрахани, применять при осуществлении перевозок возможность безналичной оплаты и учета проезда пассажиров и багажа, в том числе с использованием универсальной электронной карты (УЭК).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автоматизированной системе безналичной оплаты проезда пассажиров и перевозки багажа на территории МО "Город Астрахань".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hyperlink w:anchor="P282" w:history="1">
        <w:r>
          <w:rPr>
            <w:color w:val="0000FF"/>
          </w:rPr>
          <w:t>Положение</w:t>
        </w:r>
      </w:hyperlink>
      <w:r>
        <w:t xml:space="preserve"> об электронных проездных билетах, действующих на территории МО "Город Астрахань".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4. Управлению информационного обеспечения деятельности администрации муниципального образования "Город Астрахань"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 Управлению контроля и документооборота администрации муниципального образования "Город Астрахань"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момента его официального опубликования в средствах массовой информации.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7. Контроль за выполнением данного Постановления администрации муниципального образования "Город Астрахань" оставляю за собой.</w:t>
      </w:r>
    </w:p>
    <w:p w:rsidR="00FD520F" w:rsidRDefault="00FD520F">
      <w:pPr>
        <w:pStyle w:val="ConsPlusNormal"/>
        <w:jc w:val="right"/>
      </w:pPr>
    </w:p>
    <w:p w:rsidR="00FD520F" w:rsidRDefault="00FD520F">
      <w:pPr>
        <w:pStyle w:val="ConsPlusNormal"/>
        <w:jc w:val="right"/>
      </w:pPr>
      <w:r>
        <w:t>Глава администрации</w:t>
      </w:r>
    </w:p>
    <w:p w:rsidR="00FD520F" w:rsidRDefault="00FD520F">
      <w:pPr>
        <w:pStyle w:val="ConsPlusNormal"/>
        <w:jc w:val="right"/>
      </w:pPr>
      <w:r>
        <w:t>О.А.ПОЛУМОРДВИНОВ</w:t>
      </w:r>
    </w:p>
    <w:p w:rsidR="00FD520F" w:rsidRDefault="00FD520F">
      <w:pPr>
        <w:pStyle w:val="ConsPlusNormal"/>
        <w:jc w:val="right"/>
      </w:pPr>
    </w:p>
    <w:p w:rsidR="00FD520F" w:rsidRDefault="00FD520F">
      <w:pPr>
        <w:pStyle w:val="ConsPlusNormal"/>
        <w:jc w:val="right"/>
      </w:pPr>
    </w:p>
    <w:p w:rsidR="00FD520F" w:rsidRDefault="00FD520F">
      <w:pPr>
        <w:pStyle w:val="ConsPlusNormal"/>
        <w:jc w:val="right"/>
      </w:pPr>
    </w:p>
    <w:p w:rsidR="00FD520F" w:rsidRDefault="00FD520F">
      <w:pPr>
        <w:pStyle w:val="ConsPlusNormal"/>
        <w:jc w:val="right"/>
      </w:pPr>
    </w:p>
    <w:p w:rsidR="00FD520F" w:rsidRDefault="00FD520F">
      <w:pPr>
        <w:pStyle w:val="ConsPlusNormal"/>
        <w:jc w:val="right"/>
      </w:pPr>
    </w:p>
    <w:p w:rsidR="00FD520F" w:rsidRDefault="00FD520F">
      <w:pPr>
        <w:pStyle w:val="ConsPlusNormal"/>
        <w:jc w:val="right"/>
        <w:outlineLvl w:val="0"/>
      </w:pPr>
      <w:r>
        <w:lastRenderedPageBreak/>
        <w:t>Утверждено</w:t>
      </w:r>
    </w:p>
    <w:p w:rsidR="00FD520F" w:rsidRDefault="00FD520F">
      <w:pPr>
        <w:pStyle w:val="ConsPlusNormal"/>
        <w:jc w:val="right"/>
      </w:pPr>
      <w:r>
        <w:t>Постановлением администрации</w:t>
      </w:r>
    </w:p>
    <w:p w:rsidR="00FD520F" w:rsidRDefault="00FD520F">
      <w:pPr>
        <w:pStyle w:val="ConsPlusNormal"/>
        <w:jc w:val="right"/>
      </w:pPr>
      <w:r>
        <w:t>муниципального образования</w:t>
      </w:r>
    </w:p>
    <w:p w:rsidR="00FD520F" w:rsidRDefault="00FD520F">
      <w:pPr>
        <w:pStyle w:val="ConsPlusNormal"/>
        <w:jc w:val="right"/>
      </w:pPr>
      <w:r>
        <w:t>"Город Астрахань"</w:t>
      </w:r>
    </w:p>
    <w:p w:rsidR="00FD520F" w:rsidRDefault="00FD520F">
      <w:pPr>
        <w:pStyle w:val="ConsPlusNormal"/>
        <w:jc w:val="right"/>
      </w:pPr>
      <w:r>
        <w:t>от 2 июня 2015 г. N 3441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Title"/>
        <w:jc w:val="center"/>
      </w:pPr>
      <w:bookmarkStart w:id="0" w:name="P33"/>
      <w:bookmarkEnd w:id="0"/>
      <w:r>
        <w:t>ПОЛОЖЕНИЕ</w:t>
      </w:r>
    </w:p>
    <w:p w:rsidR="00FD520F" w:rsidRDefault="00FD520F">
      <w:pPr>
        <w:pStyle w:val="ConsPlusTitle"/>
        <w:jc w:val="center"/>
      </w:pPr>
      <w:r>
        <w:t>ОБ АВТОМАТИЗИРОВАННОЙ СИСТЕМЕ БЕЗНАЛИЧНОЙ</w:t>
      </w:r>
    </w:p>
    <w:p w:rsidR="00FD520F" w:rsidRDefault="00FD520F">
      <w:pPr>
        <w:pStyle w:val="ConsPlusTitle"/>
        <w:jc w:val="center"/>
      </w:pPr>
      <w:r>
        <w:t>ОПЛАТЫ ПРОЕЗДА ПАССАЖИРОВ И ПЕРЕВОЗКИ БАГАЖА</w:t>
      </w:r>
    </w:p>
    <w:p w:rsidR="00FD520F" w:rsidRDefault="00FD520F">
      <w:pPr>
        <w:pStyle w:val="ConsPlusTitle"/>
        <w:jc w:val="center"/>
      </w:pPr>
      <w:r>
        <w:t>НА ТЕРРИТОРИИ МО "ГОРОД АСТРАХАНЬ"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jc w:val="center"/>
        <w:outlineLvl w:val="1"/>
      </w:pPr>
      <w:r>
        <w:t>1. Общие сведения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ind w:firstLine="540"/>
        <w:jc w:val="both"/>
      </w:pPr>
      <w:r>
        <w:t>Полное наименование системы: Автоматизированная система безналичной оплаты проезда пассажиров и перевозки багажа на автомобильном транспорте в межмуниципальном сообщении (далее - АСОП).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Определения, обозначения и сокращения (Глоссарий).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HSM - HardwareSecurityModule или HostSecurityModule, аппаратный модуль, обеспечивающий (в контексте настоящего документа) безопасность транспортных транзакций или персонализации карт.</w:t>
      </w:r>
    </w:p>
    <w:p w:rsidR="00FD520F" w:rsidRPr="00FD520F" w:rsidRDefault="00FD520F">
      <w:pPr>
        <w:pStyle w:val="ConsPlusNormal"/>
        <w:spacing w:before="220"/>
        <w:ind w:firstLine="540"/>
        <w:jc w:val="both"/>
        <w:rPr>
          <w:lang w:val="en-US"/>
        </w:rPr>
      </w:pPr>
      <w:r w:rsidRPr="00FD520F">
        <w:rPr>
          <w:lang w:val="en-US"/>
        </w:rPr>
        <w:t xml:space="preserve">MAC - Message Authentication Code; </w:t>
      </w:r>
      <w:r>
        <w:t>вариантЭЦПстандарта</w:t>
      </w:r>
      <w:r w:rsidRPr="00FD520F">
        <w:rPr>
          <w:lang w:val="en-US"/>
        </w:rPr>
        <w:t xml:space="preserve"> ISO/IEC 9797.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MIFARE - MicronFareCollection, тип БСК, de-facto стандарт транспортной карты в России; дуальная смарт-карта имеет эмулятор MIFARE с доступом к MIFARE-памяти как по бесконтактному, так и по контактному интерфейсу (в последнем случае - при наличии в памяти смарт-карты соответствующего апплета доступа).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UID - Unique ID, уникальный номер БСК; 10 байтов, согласно ISO/IEC 14443; при четырехбайтномUID последние три байта - нули.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Агент - уполномоченная организация, осуществляющая на комиссионной основе продажу транспортных услуг (продажу билетов) по договорам с Оператором АСОП (ОС).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АМБ - Аппаратный модуль безопасности (также см. HSM). В данном контексте это может быть либо микропроцессорная смарт-карта с криптопроцессором, либо POS-терминал, сертифицированный по стандарту PCI PED, либо аппаратно-защищенный специализированный компьютер, хранящий секретные ключи и выполняющий криптографические вычисления.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Бланк билета - Битовая структура памяти карты, отображающая "пустой" билет. Это билет без конкретных ограничений (срока действия, ресурса), и содержащий исключительно идентификационные данные (номер, серию). Бланк билета не может быть использован на транспорте (транспортных терминалах), он - просто "заготовка" билета. Бланк билета может быть использован на ТПТУ при покупке билета для преобразования бланка билета в конкретный билет.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Билет - проездной документ в электронной форме, подтверждающий право проезда пассажира в общественном транспорте. Различают разовый билет (билет на конкретный рейс, прекращающий его использование после совершения поездки) и многоразовый билет (проездной документ, позволяющий совершать многократные поездки в соответствии с правилами его использования).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Битмэппинг - битовая структура памяти карты, отображающая в бинарном виде проездной документ конкретной системы оплаты проезда на общественном транспорте.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lastRenderedPageBreak/>
        <w:t>БСК - Бесконтактная смарт-карта, соответствующая международному стандарту ISO/IEC 14443A.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Кассовая транзакция - транзакция между транспортной картой и ТПТУ, в результате которой в память транспортной карты записывается конкретный билет.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Оператор АСОП (ОС) - организация, наделенная соответствующими полномочиями и осуществляющая эксплуатацию, обслуживание, обеспечение функционирования АСОП.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Персонализация - процедура первичной разметки памяти транспортной карты, позволяющая записать на карту бланки билетов или конкретные билеты.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Персонализационное бюро - организация, осуществляющая персонализацию транспортных карт; по тексту Положения - персонализация транспортных приложений на картах.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Разовый билет - билет на конкретное транспортное средство. Разовый билет содержит реквизиты, указывающие на то, что проезд происходит в данном транспортном средстве. Разовый билет должен быть в печатной форме, соответствовать "</w:t>
      </w:r>
      <w:hyperlink r:id="rId9" w:history="1">
        <w:r>
          <w:rPr>
            <w:color w:val="0000FF"/>
          </w:rPr>
          <w:t>Правилам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транспортом" (утверждены Постановлением Правительства Российской Федерации от 14.02.2009 N 112 "Об утверждении правил перевозок пассажиров и багажа автомобильным транспортом и городским наземным электрическим транспортом"). Разовый билет служит для контроля со стороны ТО.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СУТ - система управления терминалами. Должна обеспечивать возможность удаленно, в режиме off-line, производить конфигурирование терминала (в том числе, смену тарифов), а также обмениваться данными с ЦОТТ (передавая ЭКЛ и получая списки номеров билетов, блокирующие/деблокирующие билеты на картах).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Терминал - обобщенное название устройства АСОП, работающее непосредственно с билетами и носителями билетов (напр., транспортными картами). Технологически различают Транспортные терминалы (далее - ТТ) и Терминалы продажи транспортных услуг (далее - ТПТУ). Любой терминал в АСОП должен имеет уникальный регистрационный номер.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Перевозчик - юридическое лицо, индивидуальный предприниматель, оказывающие услуги по перевозке пассажиров и багажа с использованием карт.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ТПТУ - терминал продажи транспортных услуг, устройство, осуществляющее продажу транспортных услуг (продажу, продление или пополнение баланса билета). Частным случаем ТПТУ может считаться устройство самообслуживания, выполняющее аналогичные функции.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Транспортная транзакция - транзакция между носителем билета (транспортной картой) и транспортным терминалом, в результате чего фиксируется факт проезда, или операция регистрации транспортным терминалом разовой поездки с использованием служебной карты.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ТТ - Транспортный терминал. Устройство, осуществляющее контроль (проверку) и регистрацию проезда.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УЭК - универсальная электронная карта, дуальная смарт-карта гражданина, содержащая (наряду с другими приложениями - платежного и нефинансового характера) транспортные приложения для проезда в общественном транспорте.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ЦОТТ - центр обработки транспортных транзакций, программно-аппаратный комплекс, собирающий с транспортных терминалов первичные данные о проезде (транспортные транзакции) и продаже билетов (кассовые транзакции) в форме электронной контрольной ленты и обрабатывающий их в интересах участников СОП (контроль эмиссии билетов, составление разнообразных отчетов и т.д.).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lastRenderedPageBreak/>
        <w:t>ТЭК - транспортный электронный кошелек, модификация УПД, содержащего параметры билета, позволяющего в пределах своего баланса, регистрировать проезд в рамках предоплатной схемы оплаты транспортных услуг.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ЭКЛ - электронная контрольная лента, файл с записями операций за смену, порождаемый терминалом (первичные данные СОП). ЭКЛ не является фискальным документом, ее задача - предоставление информации в ЦОТТ данных об операциях на транспортных терминалах или терминалах продажи транспортных услуг. ЭКЛ должна быть подписана АМБ с использованием секретных ключей. В двухуровневой системе СОП Электронная контрольная лента передается непосредственно с терминала.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ЭЦП - электронно-цифровая подпись, электронный сертификат, подтверждающий истинность подписываемых данных.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jc w:val="center"/>
        <w:outlineLvl w:val="1"/>
      </w:pPr>
      <w:r>
        <w:t>2. Назначение и цели создания АСОП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ind w:firstLine="540"/>
        <w:jc w:val="both"/>
      </w:pPr>
      <w:r>
        <w:t>АСОП предназначена для: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повышения качества транспортного обслуживания населения муниципального образования "Город Астрахань";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оптимизации и повышения эффективности работы перевозчиков, осуществляющих регулярные перевозки пассажиров по муниципальным маршрутам города;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совершенствования системы учета и контроля оплаты проезда;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перевода предоставления транспортных услуг в электронный вид.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Целью внедрения АСОП является совершенствование процесса предоставления гражданам услуг на основе информационных и телекоммуникационных технологий.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К числу основных задач, требующих решения для достижения поставленной цели, относятся: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введение современных способов безналичной оплаты проезда;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автоматизация сбора выручки;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создание соответствующей информационно-технической инфраструктуры;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обеспечение возможностей по стимулированию населения к переходу на более удобные и эффективные способы оплаты проезда.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jc w:val="center"/>
        <w:outlineLvl w:val="1"/>
      </w:pPr>
      <w:r>
        <w:t>3. Требования к АСОП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ind w:firstLine="540"/>
        <w:jc w:val="both"/>
      </w:pPr>
      <w:r>
        <w:t>3.1. АСОП основана на следующих принципах: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3.1.1. Открытость.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АСОП используются общедоступные и специфицированные решения, протоколы и интерфейсы, что должно обеспечить интеграцию создаваемых решений, как между собой, так и с внешними информационными системами.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3.1.2. Модульность.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АСОП используются модульные архитектуры. Сбой в работе одного из модулей не должен приводить к полному прекращению функционирования АСОП в целом.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lastRenderedPageBreak/>
        <w:t>3.1.3. Масштабируемость.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Архитектура АСОП позволяет увеличивать производительность АСОП, объемы хранимой и обрабатываемой информации без длительной остановки работы и значительной модификации программного кода АСОП.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3.1.4. Управляемость и конфигурирование.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Механизмы управления обеспечивают конфигурирование АСОП, в частности, ее терминального оборудования.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3.1.5. Системность.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Все взаимосвязанные подсистемы АСОП имеют единую методологию и отвечают единым принципам взаимодействия, надежности и управления.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3.1.6. Анализ использования информации.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АСОП содержит механизмы эффективного сбора информации и анализа использования АСОП, как при оказании транспортных услуг, так и при регистрации проезда.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3.2. АСОП представляет собой программно-аппаратный комплекс, состоящий из следующих компонентов: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3.2.1. Носитель информации о билетах.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 xml:space="preserve">В качестве носителей информации о билетах используются смарт-карты и другие носители, в том числе соответствующие требованиям и стандартам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24.03.2011 N 208 "О технических требованиях к универсальной электронной карте и федеральным электронным приложениям".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структуру данных памяти носителя и его программного обеспечения входят: битмэппинг билета, битовая структура, используемая транспортными терминалами для регистрации проезда с использованием БСК. Битмэппинг имеет защиту от изменения (за исключением билетов, активируемых при первой поездке).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3.2.2. Терминальное оборудование.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Терминальное оборудование технологически состоит из двух множеств транспортных терминалов и терминалов ТПТУ. Основная задача терминального оборудования - сбор информации о проданных транспортных услугах и регистрация проезда с помощью носителей билета (включая валидирование билетов).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3.2.3. Система управления терминалами.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Обязательное требование к АСОП - удаленное, из единого центра, с помощью СУТ, конфигурации терминалов, при этом - непосредственное, без промежуточных носителей информации (с использованием беспроводных каналов передачи данных).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3.2.4. Центр обработки транспортных транзакций.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ЦОТТ представляет собой работающую в режиме off-line серверную программу c базой данных, хранящей информацию о проданных транспортных услугах и о проездах с использованием носителей билетов, а также набор on-line служб, обеспечивающих обработку поступающих данных и выгрузку исходящих данных в режиме 7/24. Основной функционал ЦОТТ - сбор такой информации и создание на ее основе различных отчетов потребителям АСОП: оператору системы АСОП; транспортным операторам, использующим АСОП.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lastRenderedPageBreak/>
        <w:t>АСОП содержит следующие документированные компоненты: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общее описание технологии использования АСОП;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описание системы безопасности АСОП;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техническое описание терминального оборудования, используемого для работы АСОП, с указанием технических мер безопасности на данных устройствах (за исключением технических описаний банкоматов и прочих устройств самообслуживания банков, формально являющихся ТПТУ, но несущих, как и при продаже иных услуг, исключительно интерфейсную и транспортную - в части кассовых транзакций - функции);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инструкции по работе с указанными выше устройствами (в части использования АСОП);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описание форматов данных, загружаемых с терминального оборудования в ЦОТТ и из ЦОТТ в терминальное оборудование (ЭКЛ, блокирующие и деблокирующие списки, тарифные таблицы);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описание форматов данных, загружаемых в ЦОТТ из других организаций (персонализационных бюро, прочих организаций), а также правил взаимодействия с ними;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описание ЦОТТ, включая описание работы с его базой данных, а также инструкции по работе с ЦОТТ;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форматы и условия исполнения стандартного набора отчетов участникам АСОП.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jc w:val="center"/>
        <w:outlineLvl w:val="1"/>
      </w:pPr>
      <w:r>
        <w:t>4. Требования к технологическим компонентам АСОП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ind w:firstLine="540"/>
        <w:jc w:val="both"/>
      </w:pPr>
      <w:r>
        <w:t>4.1. Нумерация билетов.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Системный номер билета формируется в соответствии с номером носителя билета.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Номер каждого билета информационно связан с уникальным номером чипа носителя билета.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Каждый билет имеет серию, которая идентифицирует его конкретный вид, как принадлежность билета к определенной группе проездных документов с определенными свойствами. Возможно изменение серии билета.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4.2. Виды билетов.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АСОП билет характеризуется следующими параметрами, сочетание которых определяет вид билета и формирует его стоимость (тариф): срок действия билета, ресурс билета, персональность билета, вид транспорта, на котором действует билет, способ оплаты билета, область и время действия билета.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Срок действия выражается в абсолютной форме. Абсолютная форма используется для билетов, имеющих конкретную дату окончания срока действия. Она устанавливается при его покупке.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Ресурс билета номинируется либо в денежных единицах, либо в поездках. Ресурс учитывается на балансе билета. Если значение баланса меньше, чем тариф разовой поездки - электронный кошелек, либо нулевое - поездки, то билет считается недействительным.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Билет имеет признак "Персональный / На предъявителя". Персональный билет может быть использован только конкретным лицом. К таким билетам относятся все льготные билеты. Билет на предъявителя может быть использован любым лицом.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lastRenderedPageBreak/>
        <w:t>В АСОП обеспечиваются возможность: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оплаты билетов по двух схемам - предоплатной и постоплатной (кредитной);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использования билетов в определенное время, например, в дачный сезон;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остановки действия билета через механизм списков номеров билетов, действие которых должно быть остановлено (различные виды стоп-листов);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возобновления действия ранее заблокированных билетов через механизм списков номеров билетов, действие которых должно быть возобновлено (различные виды деблок-листов);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остановки действия единиц терминального оборудования через механизм списков номеров терминалов, подлежащих блокировке в системе;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возможность использования зональной системы оплаты проезда для любых типов билетов, с возможностью отдельной тарификации каждой серии билета на любом маршруте.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4.3. Безопасность АСОП.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Ключ доступа к памяти билета является диверсифицированным на UID секретным ключом, рассчитываемым на основе ключевого материала, находящегося вне карты (в защищенной памяти терминального оборудования).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Битовая структуры памяти карты, где хранится билет (Битмэппинг), и способ диверсификации ключа являются секретными.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Битмэппинг подписывается ЭЦП, также на диверсифицированном ключе, рассчитываемым на основе ключевого материала, находящегося вне карты (в защищенной памяти терминального оборудования).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качестве алгоритмов шифрования и формирования ЭЦП используются стандартные криптографические алгоритмы, применяемые в банковской практике и допускающие проведение криптографических вычислений на аппаратном уровне (т.е. алгоритмы должны поддерживаться такими аппаратными средствами, как микропроцессорные смарт-карты, HSM, модулями безопасности банковских терминалов и устройств).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Информация о транзакциях (ЭКЛ), поступающая в ЦОТТ, подписывается терминалами на основе стандартных криптографических алгоритмов, применяемых в банковской практике и допускающих проведение криптографических вычислений на аппаратном уровне (т.е. алгоритмы должны поддерживаться такими аппаратными средствами, как микропроцессорные смарт-карты, HSM, модулями безопасности банковских терминалов и устройств).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ЦОТТ обеспечивает блокировку билетов с помощью механизма стоп-листов, ограничивающих действие билета исходя из его номера, а также исходя из номера терминала продажи транспортных услуг.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Персонализация билетов осуществляется организациями, обеспечивающими должный уровень безопасности этого процесса (защищенные помещения, контроль персонала, использование аппаратных модулей безопасности и т.д.).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4.4. Центр обработки транспортных транзакций.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ЦОТТ выполняет следующие функции: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получение, анализ и загрузка первичных данных в базу данных ЦОТТ;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lastRenderedPageBreak/>
        <w:t>- контроль над получаемыми данными (по паспортам карт, по номерам терминалов, по балансовым показателям билетов);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контроль над эмиссией и обращением билетов, управление списками, останавливающими прием карт;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ведение различных справочников, необходимых для работы ЦОТТ (паспорта карт, реквизиты транспортных операторов и агентов);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составление отчетов, в том числе - транзакционных, заинтересованным организациям (периодически, в соответствии с регламентами; или разовых отчетов, по отдельным запросам).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функционал ЦОТТ входят стандартные операции, связанные с ведением больших баз данных (администрирование базы данных, в том числе - управление доступом к данным, контроль над их целостностью, возможность периодического архивирования и т.д.).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состав ЦОТТ входит подсистема управления терминальным оборудованием (Terminalmanagementsystem или TMS / СУТ). В задачи TMS входит удаленное конфигурирование терминалов. Под конфигурированием понимается не только установка технических параметров терминала (например, коммуникационных), но и передача файлов, задающих тарифы и прочие параметры билета (серии билетов, номера маршрутов, зоны, систему скидок, если необходимо). Эти операции (конфигурирование) проводятся централизованно, по инициативе организации, эксплуатирующей ЦОТТ, в автоматическом режиме без участия организаций эксплуатирующих терминальное оборудование.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Базовый канал связи, используемый для обмена данными между терминалами и ЦОТТ - мобильный (посредством GPRS-модема), резервный - непосредственный контакт терминала через СОМ или USB порт с переносным компьютером или устройством флэш-памяти. Обмен данными по базовому каналу должен производиться по FTP-протоколу; допускается использование специализированной системы с аналогичными свойствами. Файлы информационного обмена подписываются терминалом или ЦОТТ (в зависимости от направления информационного обмена) с помощью ЭЦП. При необходимости, данные шифруются с использованием стандартных криптографических алгоритмов (терминалом или ЦОТТ, в зависимости от направления информационного обмена).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jc w:val="center"/>
        <w:outlineLvl w:val="1"/>
      </w:pPr>
      <w:r>
        <w:t>5. Требования к техническим компонентам АСОП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ind w:firstLine="540"/>
        <w:jc w:val="both"/>
      </w:pPr>
      <w:r>
        <w:t>5.1. Общие требования к терминальному оборудованию для регистрации проезда по АСОП.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Транспортные терминалы для учета оплаты проезда граждан в пассажирском транспорте выполняются в виде мобильных (носимых) устройств.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Общее количество транспортных терминалов предусматривает возможность работы всего подвижного состава в соответствии с планом выпуска, а также включает оборотный фонд для замены, в случае отказа оборудования.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Объем оперативной памяти терминала составляет не менее 16 МБ.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Доступ персонала к работе с транспортным терминалом осуществляется с помощью бесконтактных служебных карт либо пароля, с разделением функций (специалиста для технического обслуживания терминала; администратора системы для открытия и закрытия смен, внесения и изъятия денег, инициирования обмена данными с ЦОТТ; кондуктора).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Транспортный терминал оборудуется модулем безопасности в форм-факторе SIM-карты.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 xml:space="preserve">Каждая операция, проводимая терминалом, фиксируется в ЭКЛ терминала. По завершении </w:t>
      </w:r>
      <w:r>
        <w:lastRenderedPageBreak/>
        <w:t>смены, при получении электронной отчетности подписываются все операции сертификатами на основе стандартных криптографических алгоритмов с использованием установленного модуля безопасности.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Программное обеспечение транспортного терминала обеспечивает хранение достаточного количества транспортных транзакций в течение смены, а также всех необходимых конфигурационных параметров. Объем энергонезависимой памяти терминала составляет не менее 8 МБ.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Передача электронных контрольных лент производится из транспортного терминала в Центр обработки транспортных транзакций посредством беспроводной связи. Терминал оборудуется встроенным GPRS-модемом.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Передаваемые в Центр обработки транспортных транзакций электронные контрольные ленты зашифровываются с использованием установленного модуля безопасности.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Транспортный терминал: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поддерживает удаленную загрузку маршрутных и тарифных таблиц, технических конфигурационных параметров в момент сеанса связи при передаче электронных контрольных лент;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имеет встроенный принтер для печати билетов, а также промежуточных (контрольных) и окончательных отчетов за смену;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оборудован дисплеем для отображения информации при проведении транзакции (отображение остатка средств на карте, причины невозможности обслуживания карты);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оборудован встроенным считывателем бесконтактных смарт-карт, работающих по стандарту ISO/IEC 14443 part 1-4 type A/B, в том числе с картами стандартов MifareStandard, MifareUltralight, MifarePlus, SmartMx и с N FC-устройствами.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Диапазон рабочей температуры транспортного терминала составляет -20°С - +50°С.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5.2. Требования к носимому терминальному устройству для регистрации проезда по АСОП.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Носимый транспортный терминал эксплуатируется кондуктором или водителем транспортного средства.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Конструкция носимого транспортного терминала обеспечивает быструю замену аккумуляторной батареи на запасную батарею на борту транспортного средства без использования дополнительных инструментов.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Конструкция носимого транспортного терминала предусматривает быструю и удобную замену рулона бумаги на борту транспортного средства без использования дополнительных инструментов.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Конструкция носимого транспортного терминала предусматривает наличие функциональных и цифро-буквенных клавиш для ввода информации при его настройке.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5.3. Требования к автономному терминальному оборудованию для продажи билетов.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Доступ персонала к терминалам осуществляется с помощью служебных карт, либо пароля с разделением функций (специалиста для технического обслуживания терминала; администратора системы для открытия и закрытия смен, внесения и изъятия денег, инициирования обмена данными с Центром обработки транспортных транзакций; кассира терминала для проведения операций по обслуживанию пассажиров).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lastRenderedPageBreak/>
        <w:t>Терминал оборудуется модулем безопасности в форм-факторе SIM-карты.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Каждая операция, проводимая терминалом фиксируется в электронной контрольной ленте терминала.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Электронные контрольные ленты передаются из терминала в Центр обработки транспортных транзакций посредством проводных или беспроводных каналов связи.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Терминал имеет принтер для печати билетов, а также промежуточных и окончательных отчетов за смену.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Терминал поддерживает удаленную загрузку тарифных таблиц, технических конфигурационных параметров в момент сеанса связи при передаче электронных контрольных лент.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Терминал оборудуется считывателем бесконтактных смарт-карт, работающих по стандарту ISO/IEC 14443 part 1-4 type A/B, в том числе с картами стандартов MifareStandard, MifareUltralight, MifarePlus, SmartMx и с NFC-устройствами.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5.4. Требования к видам отчетов, формируемых в АСОП.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системе предусмотрена возможность формирования следующих видов отчетов: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5.4.1. Отчет по сменам терминалов продажи билетов за определенный период.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Данные представляются в разрезе каждого ТПТУ с указанием внесенных сумм, итоговых данных по каждой операции (продажа, продление или пополнение в суммовом и количественном выражении), кассового остатка на конец смены. Те же данные представляются как итоговые по всем терминалам на конец периода.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5.4.2. Отчет по сменам транспортных терминалов за определенный период.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Данные представляются в разрезе каждого транспортного терминала с указанием внесенных сумм в смене, итоговых данных по продаже разовых билетов в суммовом и количественном выражении, кассового остатка на смены. Те же данные представляются как итоговые по всем терминалам на конец периода.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5.4.3. Количество перевезенных пассажиров за определенный период.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Данные представляются в разрезе каждого кондуктора по перевезенным пассажирам (включая держателей транспортных карт) и проданным билетам (количество и сумма). Те же данные представляются как итоговые по всем кондукторам на конец периода.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5.4.4. Перевозка пассажиров за определенный период.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Данные представляются в разрезе каждого маршрута с указанием количества отмеченных кондуктором рейсов, количества перевезенных пассажиров и средней загрузки рейса, а также количества зарегистрированных при проезде карт по сериям и количества проданных разовых билетов. Те же данные представляются как итоговые по всем маршрутам на конец периода.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5.4.5. Почасовая перевозка пассажиров на определенную дату.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Данные представляются в разрезе каждого маршрута за временной промежуток (час) в форме количество провезенных пассажиров и их процент от общего количества за сутки, а также общее количество пассажиров по маршруту за прошедшие от указанной даты сутки.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5.4.6. Перевозка пассажиров по дням месяца.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lastRenderedPageBreak/>
        <w:t>Данные представляются в разрезе каждого маршрута за временной промежуток (день) в форме количество провезенных пассажиров и их процент от общего количества за сутки, а также общее количество пассажиров по маршруту за календарный месяц.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5.4.7. Пополнение персональных транспортных карт для льготных категорий граждан за определенный период.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Для каждого агента системы предоставляются данные по выручке за пополнение или продление транспортных карт в разрезе даты за период по каждому подразделению агента, с итоговыми данными на дату по всем подразделениям и для данного подразделения по всем датам, а также итоговая сумма по агенту за период.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5.4.8. Перевозка пассажиров, пользующихся персональными транспортными картами, за определенный период.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Данные представляются по количеству операций регистрации карт на транспортных терминалах в разрезе даты за период по каждому подразделению перевозчика с итоговыми данными на дату по всем подразделениям и для данного подразделение по всем датам, а также итоговая сумма по перевозчику за период.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jc w:val="center"/>
        <w:outlineLvl w:val="1"/>
      </w:pPr>
      <w:r>
        <w:t>6. Требования к режимам функционирования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ind w:firstLine="540"/>
        <w:jc w:val="both"/>
      </w:pPr>
      <w:r>
        <w:t>АСОП обеспечивает функционирование в следующих режимах: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пусконаладочный режим - переходный режим, предназначенный для первичной загрузки и инициализации программно-аппаратных компонентов АСОП после ее установки или после плановых либо внеплановых остановок.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АСОП предусматривается возможность перехода в пусконаладочный режим для применения общесистемных настроек, внесенных в конфигурационные файлы, считываемые при инициализации программно-аппаратных компонентов.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пусконаладочном режиме пользовательские интерфейсы Системы недоступны.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ходе загрузки и инициализации программно-аппаратных компонентов информация о ходе этих операций контролируется обслуживающим персоналом АСОП.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Основной рабочий режим - длительно-непрерывный режим, круглосуточный, без выходных дней.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основном рабочем режиме АСОП обеспечивает корректную многопользовательскую работу с объектами (шаблонами, учетными карточками, данными пользователей, новостями).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АСОП предоставляет пользователю возможность просмотра объекта, редактируемого другим пользователем.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Регламентный режим применяется при необходимости прекращения доступа пользователей к АСОП или для выполнения регламентных работ.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Переход в режим остановки осуществляется по команде обслуживающего персонала АСОП или автоматически - например, при возникновении сигнала о сбое по питанию от источников бесперебойного питания.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При переходе в режим остановки АСОП завершает обработку данных без нарушения их целостности и сохранить свое текущее состояние.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jc w:val="center"/>
        <w:outlineLvl w:val="1"/>
      </w:pPr>
      <w:r>
        <w:lastRenderedPageBreak/>
        <w:t>7. Требования к видам обеспечения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ind w:firstLine="540"/>
        <w:jc w:val="both"/>
      </w:pPr>
      <w:r>
        <w:t>7.1. Требования к математическому обеспечению.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Математическое обеспечение АСОП представляет собой совокупность математических методов, моделей и алгоритмов обработки информации, используемых для реализации функций компонентов системы.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7.2. Требования к информационному обеспечению.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Структура данных отражает все элементы информационных потоков данных, а также технологические и административные данные.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АСОП обеспечивает эффективную организацию обмена информацией между внутренними компонентами и внешними системами.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Информационный обмен между подсистемами АСОП осуществляется с использованием локальных вычислительных сетей и глобальных сетей передачи данных.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Состав, структура, объем и предельные параметры частоты передачи сообщений определяются соответствующими протоколами информационного обмена. В протоколах информационного обмена предусматриваются меры по исключению возможности несанкционированного доступа к данным.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Обмен информацией со смежными (внешними) системами осуществляется на основе утвержденных технических условий информационного обмена.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7.3. Требования к лингвистическому обеспечению.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целях реализации функционала АСОП применяются языки программирования, обеспечивающие работу в используемой СУБД, ОС Windows, а также Unix-подобных ОС.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качестве языка манипулирования данными используются стандартные версии языка SQL для целевых СУБД.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7.4. Требования к программному обеспечению.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Для управления сервером основной БД АСОП используется надежная, сервероориентированная промышленная операционная система, позволяющая обеспечить управление СУБД и другими исполняемыми процессами при максимальной ее загрузке.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Операционная система обеспечивает надежность, безопасность, отказоустойчивость и возможность восстановления при сбоях.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Программное обеспечение в составе АСОП соответствует следующим основным требованиям: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поддерживает русский язык, символы кириллицы и латиницы;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имеет удобный пользовательский интерфейс;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настраивается под различные внешние информационные системы для обмена данными;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реализовывает экспорт данных в текстовом формате;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реализовывает формирование и вывод печатных отчетных форм;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lastRenderedPageBreak/>
        <w:t>обеспечивает поддержку возможного подключения периферийных устройств (торговых POS-терминалов, банкоматов, инфокиосков);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обеспечивает возможность подключения к АСОП новых дополнительных модулей и видов периферийных устройств;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имеет комплект пользовательской документации на русском языке.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7.5. Требования к надежности.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АСОП обладает надежностью, обеспечивающей работу пользователей в произвольном режиме и оперативное восстановление работоспособности при сбоях.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 АСОП предусмотрены: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контроль целостности данных на уровне систем управления базами данных;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сохранение целостности данных при нештатном завершении программ;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сохранение работоспособности программного обеспечения при некорректных действиях пользователя.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7.6. Требования к защите информации от несанкционированного доступа.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Защита информации от несанкционированного доступа (серверная часть) осуществляется парольными средствами, принятыми в соответствующих операционных системах.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Защита информации от несанкционированного доступа (терминальная часть) осуществляется с помощью использования служебных смарт-карт или паролей.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Данные, передаваемые терминальным оборудованием в ЦОТТ (электронные контрольные ленты), зашифровываются и подписываются на ключах, известным ЦОТТ.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7.7. Требования к сохранности информации при авариях.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Сохранность информации обеспечивается: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при пожарах, затоплениях, землетрясениях и других стихийных бедствиях: организационными и защитными мерами, опирающимися на подготовленность помещений и персонала, обеспечивающими сохранность хранимых копий информации на внешнем носителе;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при механических и электронных сбоях и отказах в работе компьютеров: на основе программных процедур восстановления информации с использованием хранимых копий баз данных, файлов журналов изменений в базах данных, копий программного обеспечения.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Для обеспечения сохранности информации в базах данных Системы реализуются следующие функциональные возможности: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резервное копирование баз данных АСОП и ее подсистем;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восстановление данных в непротиворечивое состояние при программно-аппаратных сбоях (отключение электрического питания, сбоях операционной системы и других) вычислительно-операционной среды функционирования;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восстановление данных в непротиворечивое состояние при сбоях в работе сетевого программного и аппаратного обеспечения.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 xml:space="preserve">В случае потери работоспособности АСОП вследствие разрушения данных восстановление </w:t>
      </w:r>
      <w:r>
        <w:lastRenderedPageBreak/>
        <w:t>работоспособности АСОП обеспечивается средствами системы управления базами данных или операционной системы.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Резервное копирование данных производится Администратором АСОП с использованием инструментария, входящего в состав программного обеспечения системы управления базами данных или операционной системы.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7.8. Требования к патентной чистоте.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Система отвечает требованиям по патентной чистоте согласно действующему законодательству Российской Федерации.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Используемое программное обеспечение Системы имеет лицензии производителей.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7.9. Требования к стандартизации и унификации.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АСОП построена с использованием стандартных и унифицированных методов разработки программных средств.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При развитии системы и разработке пользовательских интерфейсов используются единые принципы организации доступа к предоставляемым функциональным возможностям.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Общесистемное программное обеспечение унифицировано по версиям и составу в рамках объектов внедрения. Предусмотрено максимальное использование типовых решений.</w:t>
      </w:r>
    </w:p>
    <w:p w:rsidR="00FD520F" w:rsidRDefault="00FD520F">
      <w:pPr>
        <w:pStyle w:val="ConsPlusNormal"/>
        <w:jc w:val="right"/>
      </w:pPr>
    </w:p>
    <w:p w:rsidR="00FD520F" w:rsidRDefault="00FD520F">
      <w:pPr>
        <w:pStyle w:val="ConsPlusNormal"/>
        <w:jc w:val="right"/>
      </w:pPr>
    </w:p>
    <w:p w:rsidR="00FD520F" w:rsidRDefault="00FD520F">
      <w:pPr>
        <w:pStyle w:val="ConsPlusNormal"/>
        <w:jc w:val="right"/>
      </w:pPr>
    </w:p>
    <w:p w:rsidR="00FD520F" w:rsidRDefault="00FD520F">
      <w:pPr>
        <w:pStyle w:val="ConsPlusNormal"/>
        <w:jc w:val="right"/>
      </w:pPr>
    </w:p>
    <w:p w:rsidR="00FD520F" w:rsidRDefault="00FD520F">
      <w:pPr>
        <w:pStyle w:val="ConsPlusNormal"/>
        <w:jc w:val="right"/>
      </w:pPr>
    </w:p>
    <w:p w:rsidR="00FD520F" w:rsidRDefault="00FD520F">
      <w:pPr>
        <w:pStyle w:val="ConsPlusNormal"/>
        <w:jc w:val="right"/>
        <w:outlineLvl w:val="0"/>
      </w:pPr>
      <w:r>
        <w:t>Утверждено</w:t>
      </w:r>
    </w:p>
    <w:p w:rsidR="00FD520F" w:rsidRDefault="00FD520F">
      <w:pPr>
        <w:pStyle w:val="ConsPlusNormal"/>
        <w:jc w:val="right"/>
      </w:pPr>
      <w:r>
        <w:t>Постановлением администрации</w:t>
      </w:r>
    </w:p>
    <w:p w:rsidR="00FD520F" w:rsidRDefault="00FD520F">
      <w:pPr>
        <w:pStyle w:val="ConsPlusNormal"/>
        <w:jc w:val="right"/>
      </w:pPr>
      <w:r>
        <w:t>муниципального образования</w:t>
      </w:r>
    </w:p>
    <w:p w:rsidR="00FD520F" w:rsidRDefault="00FD520F">
      <w:pPr>
        <w:pStyle w:val="ConsPlusNormal"/>
        <w:jc w:val="right"/>
      </w:pPr>
      <w:r>
        <w:t>"Город Астрахань"</w:t>
      </w:r>
    </w:p>
    <w:p w:rsidR="00FD520F" w:rsidRDefault="00FD520F">
      <w:pPr>
        <w:pStyle w:val="ConsPlusNormal"/>
        <w:jc w:val="right"/>
      </w:pPr>
      <w:r>
        <w:t>от 2 июня 2015 г. N 3441</w:t>
      </w:r>
    </w:p>
    <w:p w:rsidR="00FD520F" w:rsidRDefault="00FD520F">
      <w:pPr>
        <w:pStyle w:val="ConsPlusNormal"/>
        <w:jc w:val="right"/>
      </w:pPr>
    </w:p>
    <w:p w:rsidR="00FD520F" w:rsidRDefault="00FD520F">
      <w:pPr>
        <w:pStyle w:val="ConsPlusTitle"/>
        <w:jc w:val="center"/>
      </w:pPr>
      <w:bookmarkStart w:id="1" w:name="P282"/>
      <w:bookmarkEnd w:id="1"/>
      <w:r>
        <w:t>ПОЛОЖЕНИЕ</w:t>
      </w:r>
    </w:p>
    <w:p w:rsidR="00FD520F" w:rsidRDefault="00FD520F">
      <w:pPr>
        <w:pStyle w:val="ConsPlusTitle"/>
        <w:jc w:val="center"/>
      </w:pPr>
      <w:r>
        <w:t>ОБ ЭЛЕКТРОННЫХ ПРОЕЗДНЫХ БИЛЕТАХ,</w:t>
      </w:r>
    </w:p>
    <w:p w:rsidR="00FD520F" w:rsidRDefault="00FD520F">
      <w:pPr>
        <w:pStyle w:val="ConsPlusTitle"/>
        <w:jc w:val="center"/>
      </w:pPr>
      <w:r>
        <w:t>ДЕЙСТВУЮЩИХ НА ТЕРРИТОРИИ МО "ГОРОД АСТРАХАНЬ"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jc w:val="center"/>
        <w:outlineLvl w:val="1"/>
      </w:pPr>
      <w:r>
        <w:t>1. Общие положения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ind w:firstLine="540"/>
        <w:jc w:val="both"/>
      </w:pPr>
      <w:r>
        <w:t>1.1. Положение об электронных проездных билетах, действующих на территории МО "Город Астрахань" (далее - Положение), определяет порядок осуществления операций с использованием электронного проездного билета, правила его выдачи, обращения, использования и прекращения действия.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1.2. Электронный проездной билет вводится в целях повышения качества транспортного обслуживания населения и предназначен для организации оплаты и учета проезда с использованием автоматизированной системы безналичной оплаты проезда пассажиров и перевозки багажа на автомобильном транспорте в межмуниципальном сообщении с применением микропроцессорных смарт-карт для всех категорий граждан при перевозке пассажиров и багажа общественным транспортом.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1.3. В Положении используются следующие термины: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 xml:space="preserve">- Электронный проездной билет (далее - ЭПБ) - информационная единица учета, </w:t>
      </w:r>
      <w:r>
        <w:lastRenderedPageBreak/>
        <w:t>обеспечивающая учет поездок на микропроцессорной смарт-карте, содержащей транспортное приложение. ЭПБ обеспечивает право пользователя на получение транспортных услуг;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Автоматизированная система безналичной оплаты проезда (далее - АСОП) - система оплаты и учета перевозки пассажиров и багажа по маршрутам муниципального сообщения на автомобильном транспорте с использованием транспортных карт - программно-аппаратный комплекс, предназначенный для обеспечения информационного и технологического взаимодействия с перевозчиками при оказании услуг по перевозке пассажиров и багажа с использованием транспортных карт;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Транспортная карта (далее - Карта) - микропроцессорная смарт-карта, в том числе универсальная электронная карта, содержащая транспортное приложение, предназначенная для совершения операций по оплате и учету поездок с использованием АСОП;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Транспортное приложение - электронное приложение, размещенное на Карте и используемое пользователем в целях получения транспортных услуг, в память которого записывается информация о наличии уплаченных денежных средств в соответствии с выбранным тарифным планом;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Оператор - юридическое лицо или индивидуальный предприниматель, обеспечивающее внедрение, организацию и функционирование АСОП, информационное и технологическое взаимодействие с перевозчиками, организующее распространение и пополнение Карт, определенное по результатам открытого конкурса, проводимого в установленном законодательством Астраханской области порядке;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Пользователь - физическое лицо, осуществляющее безналичную оплату проезда при проезде в автомобильном транспорте по маршрутам муниципального сообщения с использованием Карты;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Перевозчик - юридическое лицо, индивидуальный предприниматель, оказывающие услуги по перевозке пассажиров и багажа с использованием Карт;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 xml:space="preserve">- Универсальная электронная карта (далее - УЭК) -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УЭК и обеспечивающий доступ к информации о пользователе УЭК, используемой для удостоверения прав пользователя УЭК на получение государственных и муниципальных услуг, а также иных услуг, оказание которых осуществляется с учетом положений </w:t>
      </w:r>
      <w:hyperlink r:id="rId11" w:history="1">
        <w:r>
          <w:rPr>
            <w:color w:val="0000FF"/>
          </w:rPr>
          <w:t>главы 6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Транспортный терминал - специализированное устройство, переносное (мобильное), находящееся у кондуктора (водителя), или стационарно установленное (оборудованный терминал для прохода пассажиров) в транспортном средстве перевозчика, предназначенное для считывания информации хранящейся в памяти транспортного приложения УЭК или Карты регистрации проезда в данном транспортном средстве по установленному тарифу на проезд;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Пункт пополнения Карт - специализированный пункт обслуживания пользователей, с возможностью пополнения и продления срока действия Карт с использованием терминалов пополнения.</w:t>
      </w:r>
    </w:p>
    <w:p w:rsidR="00FD520F" w:rsidRDefault="00FD520F">
      <w:pPr>
        <w:pStyle w:val="ConsPlusNormal"/>
        <w:ind w:firstLine="540"/>
        <w:jc w:val="both"/>
      </w:pPr>
    </w:p>
    <w:p w:rsidR="00FD520F" w:rsidRDefault="00FD520F">
      <w:pPr>
        <w:pStyle w:val="ConsPlusNormal"/>
        <w:jc w:val="center"/>
        <w:outlineLvl w:val="1"/>
      </w:pPr>
      <w:r>
        <w:t>2. Права и обязанности пользователя</w:t>
      </w:r>
    </w:p>
    <w:p w:rsidR="00FD520F" w:rsidRDefault="00FD520F">
      <w:pPr>
        <w:pStyle w:val="ConsPlusNormal"/>
        <w:ind w:firstLine="540"/>
        <w:jc w:val="both"/>
      </w:pPr>
    </w:p>
    <w:p w:rsidR="00FD520F" w:rsidRDefault="00FD520F">
      <w:pPr>
        <w:pStyle w:val="ConsPlusNormal"/>
        <w:ind w:firstLine="540"/>
        <w:jc w:val="both"/>
      </w:pPr>
      <w:r>
        <w:t>2.1. Пользователь имеет право: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2.1.1. Добровольно становиться участником АСОП, получив Карту или пополнив транспортное приложение на Карте.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lastRenderedPageBreak/>
        <w:t>2.1.2. Пополнять транспортное приложение Карты средствами в размере, установленном тарифным планом, выбранным Пользователем.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2.1.3. Использовать Карту для проезда и оплаты проезда в транспортном средстве по тарифу, установленному выбранным пользователем тарифным планом.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2.1.4. Получать информацию об остатке средств на транспортном приложении Карты непосредственно у оператора АСОП, при оплате проезда в транспортном средстве, или при пополнении транспортного приложения в пункте продажи и пополнения транспортного приложения Карт.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2.1.5. Обращаться к оператору АСОП с письменным заявлением о блокировании транспортного приложения Карты в случае утраты Карты и переносе остатка на транспортное приложение новой Карты, а также для уточнения дальнейшей действий по работе с Картой, а в случае с УЭК - в уполномоченную организацию по выпуску УЭК.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2.1.6. Обращаться в организацию, ответственную за выпуск Карты, с целью ее замены, в случае выхода из строя (технической неисправности), а в случае с УЭК обращаться в уполномоченную организацию по выпуску УЭК.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2.1.7. Вернуть денежные средства с ЭПБ в порядке и на условиях, определенных оператором АСОП.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2.1.8. Принять решение о прекращении пользования картой.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2.2. Пользователь обязан: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2.2.1. Бережно обращаться с Картой.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2.2.2. Письменно уведомлять оператора АСОП о случаях утраты Карты.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2.2.3. При пополнении транспортного приложения Карты проверять дату и время проведения операции, ID-карты на квитанции (чеке) и срок действия транспортного приложения, печатаемые терминалом пополнения.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2.3. Пользователю запрещается: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2.3.1. Сгибать, переламывать или иным способом изменять целостность и форму Карты.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2.3.2. Подвергать воздействию электромагнитных полей и электрических разрядов, не связанных с технологией распространения и обслуживания Карты.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2.3.3. Использовать Карту не по прямому назначению, включая несанкционированное считывание, копирование и модификацию информации, содержащейся на карте, делать копии и дубликаты.</w:t>
      </w:r>
    </w:p>
    <w:p w:rsidR="00FD520F" w:rsidRDefault="00FD520F">
      <w:pPr>
        <w:pStyle w:val="ConsPlusNormal"/>
        <w:ind w:firstLine="540"/>
        <w:jc w:val="both"/>
      </w:pPr>
    </w:p>
    <w:p w:rsidR="00FD520F" w:rsidRDefault="00FD520F">
      <w:pPr>
        <w:pStyle w:val="ConsPlusNormal"/>
        <w:jc w:val="center"/>
        <w:outlineLvl w:val="1"/>
      </w:pPr>
      <w:r>
        <w:t>3. Права и обязанности оператора АСОП</w:t>
      </w:r>
    </w:p>
    <w:p w:rsidR="00FD520F" w:rsidRDefault="00FD520F">
      <w:pPr>
        <w:pStyle w:val="ConsPlusNormal"/>
        <w:ind w:firstLine="540"/>
        <w:jc w:val="both"/>
      </w:pPr>
    </w:p>
    <w:p w:rsidR="00FD520F" w:rsidRDefault="00FD520F">
      <w:pPr>
        <w:pStyle w:val="ConsPlusNormal"/>
        <w:ind w:firstLine="540"/>
        <w:jc w:val="both"/>
      </w:pPr>
      <w:r>
        <w:t>3.1. Оператор АСОП обязан: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3.1.1. Организовать сеть пунктов выдачи Карт и пополнения транспортного приложения Карт.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3.1.2. Организовать обслуживание в АСОП каждого пользователя, изъявившего желание пользоваться Картой.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3.1.3. Обеспечить изготовление (оформление) Карт и их реализацию.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lastRenderedPageBreak/>
        <w:t>3.1.4. Обеспечить своевременность, правильность и полноту введения в АСОП информации, полученной при идентификации Карты, а также при приеме денежных средств от пользователя при пополнении транспортного приложения Карты.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3.1.5. Осуществлять возврат денежных средств с транспортного приложения по заявлению пользователя.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3.1.6. Блокировать транспортное приложение Карты в случае утраты Карты (при наличии письменного заявления пользователя об этом).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3.2. Оператор системы вправе: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3.2.1. Совершенствовать технологию системы;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3.2.2. Изымать Карты в случаях: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использования Карты не по прямому ее назначению, включая несанкционированное считывание, копирование и модификацию информации, содержащейся на Карте;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- предъявления поддельных Карт (копий, дубликатов).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Изъятие Карты оформляется актом, написанным в двух экземплярах. Первый экземпляр акта вручается лицу, предъявившему указанную Карту. Второй экземпляр акта с изъятой Картой передается оператору АСОП.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 xml:space="preserve">Претензии, возникающие в связи с изъятием Карт, предъявляются оператору АСОП в соответствии с </w:t>
      </w:r>
      <w:hyperlink w:anchor="P356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FD520F" w:rsidRDefault="00FD520F">
      <w:pPr>
        <w:pStyle w:val="ConsPlusNormal"/>
        <w:ind w:firstLine="540"/>
        <w:jc w:val="both"/>
      </w:pPr>
    </w:p>
    <w:p w:rsidR="00FD520F" w:rsidRDefault="00FD520F">
      <w:pPr>
        <w:pStyle w:val="ConsPlusNormal"/>
        <w:jc w:val="center"/>
        <w:outlineLvl w:val="1"/>
      </w:pPr>
      <w:r>
        <w:t>4. Ответственность сторон</w:t>
      </w:r>
    </w:p>
    <w:p w:rsidR="00FD520F" w:rsidRDefault="00FD520F">
      <w:pPr>
        <w:pStyle w:val="ConsPlusNormal"/>
        <w:ind w:firstLine="540"/>
        <w:jc w:val="both"/>
      </w:pPr>
    </w:p>
    <w:p w:rsidR="00FD520F" w:rsidRDefault="00FD520F">
      <w:pPr>
        <w:pStyle w:val="ConsPlusNormal"/>
        <w:ind w:firstLine="540"/>
        <w:jc w:val="both"/>
      </w:pPr>
      <w:r>
        <w:t>4.1. Оператор АСОП не несет ответственности за ошибки, отказы, задержки, невыполнение, срывы рейсов, происходящие по вине перевозчика.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 xml:space="preserve">4.2. Стороны освобождаются от ответственности за неисполнение или ненадлежащее исполнение </w:t>
      </w:r>
      <w:hyperlink w:anchor="P282" w:history="1">
        <w:r>
          <w:rPr>
            <w:color w:val="0000FF"/>
          </w:rPr>
          <w:t>Положения</w:t>
        </w:r>
      </w:hyperlink>
      <w:r>
        <w:t>, если надлежащему исполнению препятствовали обстоятельства непреодолимой силы (форс-мажор).</w:t>
      </w:r>
    </w:p>
    <w:p w:rsidR="00FD520F" w:rsidRDefault="00FD520F">
      <w:pPr>
        <w:pStyle w:val="ConsPlusNormal"/>
        <w:ind w:firstLine="540"/>
        <w:jc w:val="both"/>
      </w:pPr>
    </w:p>
    <w:p w:rsidR="00FD520F" w:rsidRDefault="00FD520F">
      <w:pPr>
        <w:pStyle w:val="ConsPlusNormal"/>
        <w:jc w:val="center"/>
        <w:outlineLvl w:val="1"/>
      </w:pPr>
      <w:r>
        <w:t>5. Порядок получения и использования Карт</w:t>
      </w:r>
    </w:p>
    <w:p w:rsidR="00FD520F" w:rsidRDefault="00FD520F">
      <w:pPr>
        <w:pStyle w:val="ConsPlusNormal"/>
        <w:ind w:firstLine="540"/>
        <w:jc w:val="both"/>
      </w:pPr>
    </w:p>
    <w:p w:rsidR="00FD520F" w:rsidRDefault="00FD520F">
      <w:pPr>
        <w:pStyle w:val="ConsPlusNormal"/>
        <w:ind w:firstLine="540"/>
        <w:jc w:val="both"/>
      </w:pPr>
      <w:r>
        <w:t>5.1. Получение и оформление Карты, за исключением УЭК, возможны любым гражданином после оплаты услуги по ее подключению к системе АСОП по установленному тарифу при обращении к оператору.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5.2. Для получения УЭК пользователь обращается в организацию, уполномоченную на выпуск УЭК на территории Астраханской области. Выдача универсальной электронной карты гражданину осуществляется на бесплатной основе.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5.3. Карта принимается для проезда в транспортных средствах перевозчиков, присоединившихся к АСОП и установивших транспортные терминалы.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5.4. Порядок подключения к АСОП, правила оплаты проезда и использования Карт в рамках АСОП определяются правилами АСОП, утверждаемыми оператором АСОП.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 xml:space="preserve">5.5. Для обеспечения возможности проезда с использованием Карты необходимо своевременно производить пополнение транспортного приложения на сумму, соответствующую выбранному пользователем тарифному плану. По завершении срока действия оплаченного </w:t>
      </w:r>
      <w:r>
        <w:lastRenderedPageBreak/>
        <w:t>тарифного плана пользователь может продлить срок его действия на следующий месяц либо сменить тарифный план.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5.6. В случае, если гражданин получил Карту со скрытым дефектом, приведшим к невозможности использования Карты в АСОП, Карта заменяется бесплатно.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5.7. Повторная выдача Карт в случае их утраты, а также при повреждении по вине пользователя производится на платной основе.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5.8. Порядок выдачи дубликата УЭК и размер платы за выдачу такого дубликата определяет Субъект Российской Федерации.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5.9. Порядок выдачи дубликата Карт, за исключением УЭК, производится за плату, установленную оператором АСОП.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jc w:val="center"/>
        <w:outlineLvl w:val="1"/>
      </w:pPr>
      <w:bookmarkStart w:id="2" w:name="P356"/>
      <w:bookmarkEnd w:id="2"/>
      <w:r>
        <w:t>6. Урегулирование претензий</w:t>
      </w:r>
    </w:p>
    <w:p w:rsidR="00FD520F" w:rsidRDefault="00FD520F">
      <w:pPr>
        <w:pStyle w:val="ConsPlusNormal"/>
        <w:jc w:val="center"/>
      </w:pPr>
    </w:p>
    <w:p w:rsidR="00FD520F" w:rsidRDefault="00FD520F">
      <w:pPr>
        <w:pStyle w:val="ConsPlusNormal"/>
        <w:ind w:firstLine="540"/>
        <w:jc w:val="both"/>
      </w:pPr>
      <w:r>
        <w:t>6.1. При обращении в пункт по работе с пассажирами, организованный оператором АСОП, для урегулирования претензии пользователь заполняет бланк заявления, в котором указывает ID-карты и излагает характер претензии. В зависимости от характера претензии пользователь при необходимости прикладывает к заявлению саму неработающую Карту, акт изъятия Карты и другие документы, подтверждающие право заявителя на предъявление претензии.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6.2. На основании заявления пользователя специалисты оператора АСОП в течение 5 рабочих дней со дня поступления заявления по результатам рассмотрения претензии пользователя дают заключение, о котором информируют пользователя.</w:t>
      </w:r>
    </w:p>
    <w:p w:rsidR="00FD520F" w:rsidRDefault="00FD520F">
      <w:pPr>
        <w:pStyle w:val="ConsPlusNormal"/>
        <w:spacing w:before="220"/>
        <w:ind w:firstLine="540"/>
        <w:jc w:val="both"/>
      </w:pPr>
      <w:r>
        <w:t>6.3. Неурегулированные споры рассматриваются в соответствии с действующим законодательством Российской Федерации.</w:t>
      </w:r>
    </w:p>
    <w:p w:rsidR="00FD520F" w:rsidRDefault="00FD520F">
      <w:pPr>
        <w:pStyle w:val="ConsPlusNormal"/>
        <w:ind w:firstLine="540"/>
        <w:jc w:val="both"/>
      </w:pPr>
    </w:p>
    <w:p w:rsidR="00FD520F" w:rsidRDefault="00FD520F">
      <w:pPr>
        <w:pStyle w:val="ConsPlusNormal"/>
        <w:ind w:firstLine="540"/>
        <w:jc w:val="both"/>
      </w:pPr>
    </w:p>
    <w:p w:rsidR="00FD520F" w:rsidRDefault="00FD52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4BE" w:rsidRDefault="003C74BE">
      <w:bookmarkStart w:id="3" w:name="_GoBack"/>
      <w:bookmarkEnd w:id="3"/>
    </w:p>
    <w:sectPr w:rsidR="003C74BE" w:rsidSect="0015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0F"/>
    <w:rsid w:val="003C74BE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D5392868C8230DC09A4D3DE52D7A963751F66556D56F06F4C83946F66202AXCn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6D5392868C8230DC09BADEC83E8AA66377476E57645EA63113D8C938X6nF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6D5392868C8230DC09BADEC83E8AA66376456D53655EA63113D8C938X6nFL" TargetMode="External"/><Relationship Id="rId11" Type="http://schemas.openxmlformats.org/officeDocument/2006/relationships/hyperlink" Target="consultantplus://offline/ref=A26D5392868C8230DC09BADEC83E8AA66377476E57645EA63113D8C9386F2A7D832EE3DEE2797866X2nD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26D5392868C8230DC09BADEC83E8AA6607F436A58625EA63113D8C938X6n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6D5392868C8230DC09BADEC83E8AA66079486958635EA63113D8C9386F2A7D832EE3DEE279796DX2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6842</Words>
  <Characters>39005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Арстангалиева Юлия Сергеевна</cp:lastModifiedBy>
  <cp:revision>1</cp:revision>
  <dcterms:created xsi:type="dcterms:W3CDTF">2018-06-14T11:39:00Z</dcterms:created>
  <dcterms:modified xsi:type="dcterms:W3CDTF">2018-06-14T11:39:00Z</dcterms:modified>
</cp:coreProperties>
</file>